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B1" w:rsidRDefault="001763B1" w:rsidP="006035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CASTLE MEAD MEDICAL CENTRE</w:t>
      </w:r>
      <w:r w:rsidR="00C515DB">
        <w:rPr>
          <w:rFonts w:ascii="Arial" w:hAnsi="Arial" w:cs="Arial"/>
          <w:b/>
          <w:sz w:val="24"/>
          <w:szCs w:val="24"/>
          <w:u w:val="single"/>
        </w:rPr>
        <w:t xml:space="preserve"> C82075</w:t>
      </w:r>
    </w:p>
    <w:p w:rsidR="001763B1" w:rsidRDefault="001763B1" w:rsidP="006035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HINCKLEY</w:t>
      </w:r>
    </w:p>
    <w:p w:rsidR="006035B3" w:rsidRDefault="006035B3" w:rsidP="006035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25F">
        <w:rPr>
          <w:rFonts w:ascii="Arial" w:hAnsi="Arial" w:cs="Arial"/>
          <w:b/>
          <w:sz w:val="24"/>
          <w:szCs w:val="24"/>
          <w:u w:val="single"/>
        </w:rPr>
        <w:t xml:space="preserve">Patient Satisfaction Survey 2013 </w:t>
      </w:r>
    </w:p>
    <w:p w:rsidR="001763B1" w:rsidRPr="003A6F96" w:rsidRDefault="003A6F96" w:rsidP="001763B1">
      <w:pPr>
        <w:rPr>
          <w:rFonts w:ascii="Arial" w:hAnsi="Arial" w:cs="Arial"/>
          <w:sz w:val="24"/>
          <w:szCs w:val="24"/>
        </w:rPr>
      </w:pPr>
      <w:r w:rsidRPr="003A6F96">
        <w:rPr>
          <w:rFonts w:ascii="Arial" w:hAnsi="Arial" w:cs="Arial"/>
          <w:sz w:val="24"/>
          <w:szCs w:val="24"/>
        </w:rPr>
        <w:t>Castle Mead Medical Centre</w:t>
      </w:r>
      <w:r>
        <w:rPr>
          <w:rFonts w:ascii="Arial" w:hAnsi="Arial" w:cs="Arial"/>
          <w:sz w:val="24"/>
          <w:szCs w:val="24"/>
        </w:rPr>
        <w:t xml:space="preserve"> has a p</w:t>
      </w:r>
      <w:r w:rsidR="001763B1" w:rsidRPr="003A6F96">
        <w:rPr>
          <w:rFonts w:ascii="Arial" w:hAnsi="Arial" w:cs="Arial"/>
          <w:sz w:val="24"/>
          <w:szCs w:val="24"/>
        </w:rPr>
        <w:t>ractice population 94</w:t>
      </w:r>
      <w:r w:rsidRPr="003A6F96">
        <w:rPr>
          <w:rFonts w:ascii="Arial" w:hAnsi="Arial" w:cs="Arial"/>
          <w:sz w:val="24"/>
          <w:szCs w:val="24"/>
        </w:rPr>
        <w:t>51 patients</w:t>
      </w:r>
      <w:r>
        <w:rPr>
          <w:rFonts w:ascii="Arial" w:hAnsi="Arial" w:cs="Arial"/>
          <w:sz w:val="24"/>
          <w:szCs w:val="24"/>
        </w:rPr>
        <w:t xml:space="preserve"> split over two sites.</w:t>
      </w:r>
      <w:r w:rsidR="00590B1B">
        <w:rPr>
          <w:rFonts w:ascii="Arial" w:hAnsi="Arial" w:cs="Arial"/>
          <w:sz w:val="24"/>
          <w:szCs w:val="24"/>
        </w:rPr>
        <w:t xml:space="preserve"> 7980 patients registered at Hinckley and 1471 patients registered Stoke Golding</w:t>
      </w:r>
    </w:p>
    <w:p w:rsidR="00BE598A" w:rsidRDefault="0000506A" w:rsidP="00005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patients </w:t>
      </w:r>
      <w:r w:rsidR="00BE598A">
        <w:rPr>
          <w:rFonts w:ascii="Arial" w:hAnsi="Arial" w:cs="Arial"/>
          <w:sz w:val="24"/>
          <w:szCs w:val="24"/>
        </w:rPr>
        <w:t xml:space="preserve">representing both Hinckley and Stoke Golding </w:t>
      </w:r>
      <w:r>
        <w:rPr>
          <w:rFonts w:ascii="Arial" w:hAnsi="Arial" w:cs="Arial"/>
          <w:sz w:val="24"/>
          <w:szCs w:val="24"/>
        </w:rPr>
        <w:t xml:space="preserve">regularly attend the ‘CASAG’ </w:t>
      </w:r>
      <w:r w:rsidR="003A6F96">
        <w:rPr>
          <w:rFonts w:ascii="Arial" w:hAnsi="Arial" w:cs="Arial"/>
          <w:sz w:val="24"/>
          <w:szCs w:val="24"/>
        </w:rPr>
        <w:t>(</w:t>
      </w:r>
      <w:proofErr w:type="spellStart"/>
      <w:r w:rsidR="003A6F96">
        <w:rPr>
          <w:rFonts w:ascii="Arial" w:hAnsi="Arial" w:cs="Arial"/>
          <w:sz w:val="24"/>
          <w:szCs w:val="24"/>
        </w:rPr>
        <w:t>CastleMead</w:t>
      </w:r>
      <w:proofErr w:type="spellEnd"/>
      <w:r w:rsidR="003A6F9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A6F96">
        <w:rPr>
          <w:rFonts w:ascii="Arial" w:hAnsi="Arial" w:cs="Arial"/>
          <w:sz w:val="24"/>
          <w:szCs w:val="24"/>
        </w:rPr>
        <w:t>StokeGolding</w:t>
      </w:r>
      <w:proofErr w:type="spellEnd"/>
      <w:r w:rsidR="003A6F96">
        <w:rPr>
          <w:rFonts w:ascii="Arial" w:hAnsi="Arial" w:cs="Arial"/>
          <w:sz w:val="24"/>
          <w:szCs w:val="24"/>
        </w:rPr>
        <w:t xml:space="preserve"> Action Group) </w:t>
      </w:r>
      <w:r>
        <w:rPr>
          <w:rFonts w:ascii="Arial" w:hAnsi="Arial" w:cs="Arial"/>
          <w:sz w:val="24"/>
          <w:szCs w:val="24"/>
        </w:rPr>
        <w:t>Patient Group Meeting held</w:t>
      </w:r>
      <w:r w:rsidR="00BE598A">
        <w:rPr>
          <w:rFonts w:ascii="Arial" w:hAnsi="Arial" w:cs="Arial"/>
          <w:sz w:val="24"/>
          <w:szCs w:val="24"/>
        </w:rPr>
        <w:t xml:space="preserve"> at 6:15pm</w:t>
      </w:r>
      <w:r>
        <w:rPr>
          <w:rFonts w:ascii="Arial" w:hAnsi="Arial" w:cs="Arial"/>
          <w:sz w:val="24"/>
          <w:szCs w:val="24"/>
        </w:rPr>
        <w:t xml:space="preserve"> bi-monthly at the surgery in Hill Street Hinckley</w:t>
      </w:r>
      <w:r w:rsidR="00BE59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54 are contacted via email. </w:t>
      </w:r>
    </w:p>
    <w:p w:rsidR="0000506A" w:rsidRDefault="0000506A" w:rsidP="000050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Patients are invited </w:t>
      </w:r>
      <w:r w:rsidR="007D5D68">
        <w:rPr>
          <w:rFonts w:ascii="Arial" w:hAnsi="Arial" w:cs="Arial"/>
          <w:sz w:val="24"/>
          <w:szCs w:val="24"/>
        </w:rPr>
        <w:t xml:space="preserve">to </w:t>
      </w:r>
      <w:r w:rsidR="00691E54">
        <w:rPr>
          <w:rFonts w:ascii="Arial" w:hAnsi="Arial" w:cs="Arial"/>
          <w:sz w:val="24"/>
          <w:szCs w:val="24"/>
        </w:rPr>
        <w:t xml:space="preserve">join </w:t>
      </w:r>
      <w:r w:rsidR="007D5D68">
        <w:rPr>
          <w:rFonts w:ascii="Arial" w:hAnsi="Arial" w:cs="Arial"/>
          <w:sz w:val="24"/>
          <w:szCs w:val="24"/>
        </w:rPr>
        <w:t xml:space="preserve">the group </w:t>
      </w:r>
      <w:r>
        <w:rPr>
          <w:rFonts w:ascii="Arial" w:hAnsi="Arial" w:cs="Arial"/>
          <w:sz w:val="24"/>
          <w:szCs w:val="24"/>
        </w:rPr>
        <w:t>via the doctors and staff</w:t>
      </w:r>
      <w:r w:rsidR="00691E54">
        <w:rPr>
          <w:rFonts w:ascii="Arial" w:hAnsi="Arial" w:cs="Arial"/>
          <w:sz w:val="24"/>
          <w:szCs w:val="24"/>
        </w:rPr>
        <w:t>,</w:t>
      </w:r>
      <w:r w:rsidR="007D5D68">
        <w:rPr>
          <w:rFonts w:ascii="Arial" w:hAnsi="Arial" w:cs="Arial"/>
          <w:sz w:val="24"/>
          <w:szCs w:val="24"/>
        </w:rPr>
        <w:t xml:space="preserve"> a link on our website</w:t>
      </w:r>
      <w:r w:rsidR="00BE598A">
        <w:rPr>
          <w:rFonts w:ascii="Arial" w:hAnsi="Arial" w:cs="Arial"/>
          <w:sz w:val="24"/>
          <w:szCs w:val="24"/>
        </w:rPr>
        <w:t xml:space="preserve">, whilst the survey took place patients group members tried to enlist new members. </w:t>
      </w:r>
      <w:r w:rsidR="007D5D6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meetings are publicised on the website and</w:t>
      </w:r>
      <w:r w:rsidR="00691E54">
        <w:rPr>
          <w:rFonts w:ascii="Arial" w:hAnsi="Arial" w:cs="Arial"/>
          <w:sz w:val="24"/>
          <w:szCs w:val="24"/>
        </w:rPr>
        <w:t xml:space="preserve"> on a dedicated board </w:t>
      </w:r>
      <w:r w:rsidR="00BE598A">
        <w:rPr>
          <w:rFonts w:ascii="Arial" w:hAnsi="Arial" w:cs="Arial"/>
          <w:sz w:val="24"/>
          <w:szCs w:val="24"/>
        </w:rPr>
        <w:t xml:space="preserve">in both </w:t>
      </w:r>
      <w:r>
        <w:rPr>
          <w:rFonts w:ascii="Arial" w:hAnsi="Arial" w:cs="Arial"/>
          <w:sz w:val="24"/>
          <w:szCs w:val="24"/>
        </w:rPr>
        <w:t>surgeries</w:t>
      </w:r>
      <w:r w:rsidR="00691E54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>e</w:t>
      </w:r>
      <w:r w:rsidR="00BE5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find that because of work and family commitments younger members are unable to attend </w:t>
      </w:r>
      <w:r w:rsidR="00590B1B">
        <w:rPr>
          <w:rFonts w:ascii="Arial" w:hAnsi="Arial" w:cs="Arial"/>
          <w:sz w:val="24"/>
          <w:szCs w:val="24"/>
        </w:rPr>
        <w:t xml:space="preserve">meetings </w:t>
      </w:r>
      <w:r>
        <w:rPr>
          <w:rFonts w:ascii="Arial" w:hAnsi="Arial" w:cs="Arial"/>
          <w:sz w:val="24"/>
          <w:szCs w:val="24"/>
        </w:rPr>
        <w:t>therefore we contact them and gain their comments via email.</w:t>
      </w:r>
      <w:r w:rsidR="00BE598A">
        <w:rPr>
          <w:rFonts w:ascii="Arial" w:hAnsi="Arial" w:cs="Arial"/>
          <w:sz w:val="24"/>
          <w:szCs w:val="24"/>
        </w:rPr>
        <w:t xml:space="preserve"> </w:t>
      </w:r>
    </w:p>
    <w:p w:rsidR="00C639AA" w:rsidRDefault="0000506A" w:rsidP="00A90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patient</w:t>
      </w:r>
      <w:r w:rsidR="00625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reference </w:t>
      </w:r>
      <w:r w:rsidR="00625CF0">
        <w:rPr>
          <w:rFonts w:ascii="Arial" w:hAnsi="Arial" w:cs="Arial"/>
          <w:sz w:val="24"/>
          <w:szCs w:val="24"/>
        </w:rPr>
        <w:t xml:space="preserve">group consists of </w:t>
      </w:r>
      <w:r>
        <w:rPr>
          <w:rFonts w:ascii="Arial" w:hAnsi="Arial" w:cs="Arial"/>
          <w:sz w:val="24"/>
          <w:szCs w:val="24"/>
        </w:rPr>
        <w:t xml:space="preserve">the following </w:t>
      </w:r>
      <w:r w:rsidR="00C639AA">
        <w:rPr>
          <w:rFonts w:ascii="Arial" w:hAnsi="Arial" w:cs="Arial"/>
          <w:sz w:val="24"/>
          <w:szCs w:val="24"/>
        </w:rPr>
        <w:t>age ra</w:t>
      </w:r>
      <w:r>
        <w:rPr>
          <w:rFonts w:ascii="Arial" w:hAnsi="Arial" w:cs="Arial"/>
          <w:sz w:val="24"/>
          <w:szCs w:val="24"/>
        </w:rPr>
        <w:t>nges</w:t>
      </w:r>
      <w:r w:rsidR="00C639AA">
        <w:rPr>
          <w:rFonts w:ascii="Arial" w:hAnsi="Arial" w:cs="Arial"/>
          <w:sz w:val="24"/>
          <w:szCs w:val="24"/>
        </w:rPr>
        <w:t>:</w:t>
      </w:r>
    </w:p>
    <w:p w:rsidR="00BA54DF" w:rsidRDefault="00BA54DF" w:rsidP="00A90681">
      <w:pPr>
        <w:jc w:val="both"/>
        <w:rPr>
          <w:rFonts w:ascii="Arial" w:hAnsi="Arial" w:cs="Arial"/>
          <w:sz w:val="24"/>
          <w:szCs w:val="24"/>
        </w:rPr>
      </w:pPr>
      <w:r w:rsidRPr="00BA54DF">
        <w:rPr>
          <w:rFonts w:ascii="Arial" w:hAnsi="Arial" w:cs="Arial"/>
          <w:b/>
          <w:sz w:val="24"/>
          <w:szCs w:val="24"/>
        </w:rPr>
        <w:t>0-20yrs</w:t>
      </w:r>
      <w:r>
        <w:rPr>
          <w:rFonts w:ascii="Arial" w:hAnsi="Arial" w:cs="Arial"/>
          <w:sz w:val="24"/>
          <w:szCs w:val="24"/>
        </w:rPr>
        <w:t xml:space="preserve"> 1.67% </w:t>
      </w:r>
      <w:r w:rsidRPr="00BA54DF">
        <w:rPr>
          <w:rFonts w:ascii="Arial" w:hAnsi="Arial" w:cs="Arial"/>
          <w:b/>
          <w:sz w:val="24"/>
          <w:szCs w:val="24"/>
        </w:rPr>
        <w:t>21-30yrs</w:t>
      </w:r>
      <w:r>
        <w:rPr>
          <w:rFonts w:ascii="Arial" w:hAnsi="Arial" w:cs="Arial"/>
          <w:sz w:val="24"/>
          <w:szCs w:val="24"/>
        </w:rPr>
        <w:t xml:space="preserve"> 8.35% </w:t>
      </w:r>
      <w:r w:rsidRPr="00BA54DF">
        <w:rPr>
          <w:rFonts w:ascii="Arial" w:hAnsi="Arial" w:cs="Arial"/>
          <w:b/>
          <w:sz w:val="24"/>
          <w:szCs w:val="24"/>
        </w:rPr>
        <w:t>31-40yrs</w:t>
      </w:r>
      <w:r>
        <w:rPr>
          <w:rFonts w:ascii="Arial" w:hAnsi="Arial" w:cs="Arial"/>
          <w:sz w:val="24"/>
          <w:szCs w:val="24"/>
        </w:rPr>
        <w:t xml:space="preserve"> 11.66% </w:t>
      </w:r>
    </w:p>
    <w:p w:rsidR="00C639AA" w:rsidRDefault="00BA54DF" w:rsidP="00A90681">
      <w:pPr>
        <w:jc w:val="both"/>
        <w:rPr>
          <w:rFonts w:ascii="Arial" w:hAnsi="Arial" w:cs="Arial"/>
          <w:sz w:val="24"/>
          <w:szCs w:val="24"/>
        </w:rPr>
      </w:pPr>
      <w:r w:rsidRPr="00BA54DF">
        <w:rPr>
          <w:rFonts w:ascii="Arial" w:hAnsi="Arial" w:cs="Arial"/>
          <w:b/>
          <w:sz w:val="24"/>
          <w:szCs w:val="24"/>
        </w:rPr>
        <w:t>41-50yrs</w:t>
      </w:r>
      <w:r>
        <w:rPr>
          <w:rFonts w:ascii="Arial" w:hAnsi="Arial" w:cs="Arial"/>
          <w:sz w:val="24"/>
          <w:szCs w:val="24"/>
        </w:rPr>
        <w:t xml:space="preserve"> 11.66% </w:t>
      </w:r>
      <w:r w:rsidRPr="00BA54DF">
        <w:rPr>
          <w:rFonts w:ascii="Arial" w:hAnsi="Arial" w:cs="Arial"/>
          <w:b/>
          <w:sz w:val="24"/>
          <w:szCs w:val="24"/>
        </w:rPr>
        <w:t>51-60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4DF">
        <w:rPr>
          <w:rFonts w:ascii="Arial" w:hAnsi="Arial" w:cs="Arial"/>
          <w:sz w:val="24"/>
          <w:szCs w:val="24"/>
        </w:rPr>
        <w:t>26.66%</w:t>
      </w:r>
      <w:r>
        <w:rPr>
          <w:rFonts w:ascii="Arial" w:hAnsi="Arial" w:cs="Arial"/>
          <w:b/>
          <w:sz w:val="24"/>
          <w:szCs w:val="24"/>
        </w:rPr>
        <w:t xml:space="preserve"> 61-70yrs </w:t>
      </w:r>
      <w:r w:rsidRPr="00BA54DF">
        <w:rPr>
          <w:rFonts w:ascii="Arial" w:hAnsi="Arial" w:cs="Arial"/>
          <w:sz w:val="24"/>
          <w:szCs w:val="24"/>
        </w:rPr>
        <w:t>26.66%</w:t>
      </w:r>
    </w:p>
    <w:p w:rsidR="00BA54DF" w:rsidRDefault="00BA54DF" w:rsidP="00A90681">
      <w:pPr>
        <w:jc w:val="both"/>
        <w:rPr>
          <w:rFonts w:ascii="Arial" w:hAnsi="Arial" w:cs="Arial"/>
          <w:sz w:val="24"/>
          <w:szCs w:val="24"/>
        </w:rPr>
      </w:pPr>
      <w:r w:rsidRPr="00BA54DF">
        <w:rPr>
          <w:rFonts w:ascii="Arial" w:hAnsi="Arial" w:cs="Arial"/>
          <w:b/>
          <w:sz w:val="24"/>
          <w:szCs w:val="24"/>
        </w:rPr>
        <w:t>71-80yrs</w:t>
      </w:r>
      <w:r>
        <w:rPr>
          <w:rFonts w:ascii="Arial" w:hAnsi="Arial" w:cs="Arial"/>
          <w:sz w:val="24"/>
          <w:szCs w:val="24"/>
        </w:rPr>
        <w:t xml:space="preserve"> 10% </w:t>
      </w:r>
      <w:r w:rsidRPr="00BA54DF">
        <w:rPr>
          <w:rFonts w:ascii="Arial" w:hAnsi="Arial" w:cs="Arial"/>
          <w:b/>
          <w:sz w:val="24"/>
          <w:szCs w:val="24"/>
        </w:rPr>
        <w:t>81yrs</w:t>
      </w:r>
      <w:r>
        <w:rPr>
          <w:rFonts w:ascii="Arial" w:hAnsi="Arial" w:cs="Arial"/>
          <w:sz w:val="24"/>
          <w:szCs w:val="24"/>
        </w:rPr>
        <w:t xml:space="preserve"> and above 3.34%</w:t>
      </w:r>
    </w:p>
    <w:p w:rsidR="005E01A7" w:rsidRDefault="00867485" w:rsidP="00A90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determine which questions were a priority for 2013/14 the patients group looked at the action plan of the previous year</w:t>
      </w:r>
      <w:r w:rsidR="000B0CF6">
        <w:rPr>
          <w:rFonts w:ascii="Arial" w:hAnsi="Arial" w:cs="Arial"/>
          <w:sz w:val="24"/>
          <w:szCs w:val="24"/>
        </w:rPr>
        <w:t xml:space="preserve"> 2012-2013</w:t>
      </w:r>
      <w:r>
        <w:rPr>
          <w:rFonts w:ascii="Arial" w:hAnsi="Arial" w:cs="Arial"/>
          <w:sz w:val="24"/>
          <w:szCs w:val="24"/>
        </w:rPr>
        <w:t xml:space="preserve">. </w:t>
      </w:r>
      <w:r w:rsidR="00C515DB">
        <w:rPr>
          <w:rFonts w:ascii="Arial" w:hAnsi="Arial" w:cs="Arial"/>
          <w:sz w:val="24"/>
          <w:szCs w:val="24"/>
        </w:rPr>
        <w:t xml:space="preserve">One member of the group attends the locality PPG meetings and another the area meetings feeding back any issues that we need to address. </w:t>
      </w:r>
      <w:r>
        <w:rPr>
          <w:rFonts w:ascii="Arial" w:hAnsi="Arial" w:cs="Arial"/>
          <w:sz w:val="24"/>
          <w:szCs w:val="24"/>
        </w:rPr>
        <w:t xml:space="preserve">There were several </w:t>
      </w:r>
      <w:r w:rsidR="000B0CF6">
        <w:rPr>
          <w:rFonts w:ascii="Arial" w:hAnsi="Arial" w:cs="Arial"/>
          <w:sz w:val="24"/>
          <w:szCs w:val="24"/>
        </w:rPr>
        <w:t>actions</w:t>
      </w:r>
      <w:r>
        <w:rPr>
          <w:rFonts w:ascii="Arial" w:hAnsi="Arial" w:cs="Arial"/>
          <w:sz w:val="24"/>
          <w:szCs w:val="24"/>
        </w:rPr>
        <w:t xml:space="preserve"> that </w:t>
      </w:r>
      <w:r w:rsidR="000B0CF6">
        <w:rPr>
          <w:rFonts w:ascii="Arial" w:hAnsi="Arial" w:cs="Arial"/>
          <w:sz w:val="24"/>
          <w:szCs w:val="24"/>
        </w:rPr>
        <w:t>had been taken</w:t>
      </w:r>
      <w:r w:rsidR="007D5D68">
        <w:rPr>
          <w:rFonts w:ascii="Arial" w:hAnsi="Arial" w:cs="Arial"/>
          <w:sz w:val="24"/>
          <w:szCs w:val="24"/>
        </w:rPr>
        <w:t xml:space="preserve"> regarding improvements to the </w:t>
      </w:r>
      <w:r>
        <w:rPr>
          <w:rFonts w:ascii="Arial" w:hAnsi="Arial" w:cs="Arial"/>
          <w:sz w:val="24"/>
          <w:szCs w:val="24"/>
        </w:rPr>
        <w:t>appointments system and</w:t>
      </w:r>
      <w:r w:rsidR="000B0CF6">
        <w:rPr>
          <w:rFonts w:ascii="Arial" w:hAnsi="Arial" w:cs="Arial"/>
          <w:sz w:val="24"/>
          <w:szCs w:val="24"/>
        </w:rPr>
        <w:t xml:space="preserve"> access</w:t>
      </w:r>
      <w:r>
        <w:rPr>
          <w:rFonts w:ascii="Arial" w:hAnsi="Arial" w:cs="Arial"/>
          <w:sz w:val="24"/>
          <w:szCs w:val="24"/>
        </w:rPr>
        <w:t xml:space="preserve"> </w:t>
      </w:r>
      <w:r w:rsidR="000B0CF6">
        <w:rPr>
          <w:rFonts w:ascii="Arial" w:hAnsi="Arial" w:cs="Arial"/>
          <w:sz w:val="24"/>
          <w:szCs w:val="24"/>
        </w:rPr>
        <w:t xml:space="preserve">which the group </w:t>
      </w:r>
      <w:r w:rsidR="007D5D68">
        <w:rPr>
          <w:rFonts w:ascii="Arial" w:hAnsi="Arial" w:cs="Arial"/>
          <w:sz w:val="24"/>
          <w:szCs w:val="24"/>
        </w:rPr>
        <w:t xml:space="preserve">felt </w:t>
      </w:r>
      <w:r w:rsidR="000B0CF6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important </w:t>
      </w:r>
      <w:r w:rsidR="007D5D68">
        <w:rPr>
          <w:rFonts w:ascii="Arial" w:hAnsi="Arial" w:cs="Arial"/>
          <w:sz w:val="24"/>
          <w:szCs w:val="24"/>
        </w:rPr>
        <w:t xml:space="preserve">to </w:t>
      </w:r>
      <w:r w:rsidR="00BE598A">
        <w:rPr>
          <w:rFonts w:ascii="Arial" w:hAnsi="Arial" w:cs="Arial"/>
          <w:sz w:val="24"/>
          <w:szCs w:val="24"/>
        </w:rPr>
        <w:t>gain the</w:t>
      </w:r>
      <w:r w:rsidR="00D1700C">
        <w:rPr>
          <w:rFonts w:ascii="Arial" w:hAnsi="Arial" w:cs="Arial"/>
          <w:sz w:val="24"/>
          <w:szCs w:val="24"/>
        </w:rPr>
        <w:t xml:space="preserve"> views of patients </w:t>
      </w:r>
      <w:r w:rsidR="000B0CF6">
        <w:rPr>
          <w:rFonts w:ascii="Arial" w:hAnsi="Arial" w:cs="Arial"/>
          <w:sz w:val="24"/>
          <w:szCs w:val="24"/>
        </w:rPr>
        <w:t xml:space="preserve">and this was reflected in the </w:t>
      </w:r>
      <w:r w:rsidR="00D1700C">
        <w:rPr>
          <w:rFonts w:ascii="Arial" w:hAnsi="Arial" w:cs="Arial"/>
          <w:sz w:val="24"/>
          <w:szCs w:val="24"/>
        </w:rPr>
        <w:t>questionnaire</w:t>
      </w:r>
      <w:r>
        <w:rPr>
          <w:rFonts w:ascii="Arial" w:hAnsi="Arial" w:cs="Arial"/>
          <w:sz w:val="24"/>
          <w:szCs w:val="24"/>
        </w:rPr>
        <w:t xml:space="preserve">. </w:t>
      </w:r>
      <w:r w:rsidR="009613F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final </w:t>
      </w:r>
      <w:r w:rsidR="00313768">
        <w:rPr>
          <w:rFonts w:ascii="Arial" w:hAnsi="Arial" w:cs="Arial"/>
          <w:sz w:val="24"/>
          <w:szCs w:val="24"/>
        </w:rPr>
        <w:t>contents</w:t>
      </w:r>
      <w:r w:rsidR="009613F0">
        <w:rPr>
          <w:rFonts w:ascii="Arial" w:hAnsi="Arial" w:cs="Arial"/>
          <w:sz w:val="24"/>
          <w:szCs w:val="24"/>
        </w:rPr>
        <w:t xml:space="preserve"> for the survey</w:t>
      </w:r>
      <w:r w:rsidR="00313768">
        <w:rPr>
          <w:rFonts w:ascii="Arial" w:hAnsi="Arial" w:cs="Arial"/>
          <w:sz w:val="24"/>
          <w:szCs w:val="24"/>
        </w:rPr>
        <w:t xml:space="preserve"> were discussed with </w:t>
      </w:r>
      <w:r w:rsidR="009613F0">
        <w:rPr>
          <w:rFonts w:ascii="Arial" w:hAnsi="Arial" w:cs="Arial"/>
          <w:sz w:val="24"/>
          <w:szCs w:val="24"/>
        </w:rPr>
        <w:t>CASAG at a meeting</w:t>
      </w:r>
      <w:r w:rsidR="00313768">
        <w:rPr>
          <w:rFonts w:ascii="Arial" w:hAnsi="Arial" w:cs="Arial"/>
          <w:sz w:val="24"/>
          <w:szCs w:val="24"/>
        </w:rPr>
        <w:t xml:space="preserve"> and emailed to patient reference group for discussion in July and </w:t>
      </w:r>
      <w:r w:rsidR="009613F0">
        <w:rPr>
          <w:rFonts w:ascii="Arial" w:hAnsi="Arial" w:cs="Arial"/>
          <w:sz w:val="24"/>
          <w:szCs w:val="24"/>
        </w:rPr>
        <w:t xml:space="preserve">finalised in </w:t>
      </w:r>
      <w:r w:rsidR="00313768">
        <w:rPr>
          <w:rFonts w:ascii="Arial" w:hAnsi="Arial" w:cs="Arial"/>
          <w:sz w:val="24"/>
          <w:szCs w:val="24"/>
        </w:rPr>
        <w:t>Septem</w:t>
      </w:r>
      <w:r w:rsidR="009613F0">
        <w:rPr>
          <w:rFonts w:ascii="Arial" w:hAnsi="Arial" w:cs="Arial"/>
          <w:sz w:val="24"/>
          <w:szCs w:val="24"/>
        </w:rPr>
        <w:t xml:space="preserve">ber 2013. </w:t>
      </w:r>
    </w:p>
    <w:p w:rsidR="00867485" w:rsidRDefault="009613F0" w:rsidP="00A906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</w:t>
      </w:r>
      <w:r w:rsidR="00867485">
        <w:rPr>
          <w:rFonts w:ascii="Arial" w:hAnsi="Arial" w:cs="Arial"/>
          <w:sz w:val="24"/>
          <w:szCs w:val="24"/>
        </w:rPr>
        <w:t xml:space="preserve">agreed that </w:t>
      </w:r>
      <w:r>
        <w:rPr>
          <w:rFonts w:ascii="Arial" w:hAnsi="Arial" w:cs="Arial"/>
          <w:sz w:val="24"/>
          <w:szCs w:val="24"/>
        </w:rPr>
        <w:t xml:space="preserve">they would </w:t>
      </w:r>
      <w:r w:rsidR="00867485">
        <w:rPr>
          <w:rFonts w:ascii="Arial" w:hAnsi="Arial" w:cs="Arial"/>
          <w:sz w:val="24"/>
          <w:szCs w:val="24"/>
        </w:rPr>
        <w:t>like to</w:t>
      </w:r>
      <w:r w:rsidR="00D1700C">
        <w:rPr>
          <w:rFonts w:ascii="Arial" w:hAnsi="Arial" w:cs="Arial"/>
          <w:sz w:val="24"/>
          <w:szCs w:val="24"/>
        </w:rPr>
        <w:t xml:space="preserve"> try and gain a</w:t>
      </w:r>
      <w:r w:rsidR="00867485">
        <w:rPr>
          <w:rFonts w:ascii="Arial" w:hAnsi="Arial" w:cs="Arial"/>
          <w:sz w:val="24"/>
          <w:szCs w:val="24"/>
        </w:rPr>
        <w:t xml:space="preserve"> higher amount of patients</w:t>
      </w:r>
      <w:r w:rsidR="000B0CF6">
        <w:rPr>
          <w:rFonts w:ascii="Arial" w:hAnsi="Arial" w:cs="Arial"/>
          <w:sz w:val="24"/>
          <w:szCs w:val="24"/>
        </w:rPr>
        <w:t xml:space="preserve"> </w:t>
      </w:r>
      <w:r w:rsidR="007D5D68">
        <w:rPr>
          <w:rFonts w:ascii="Arial" w:hAnsi="Arial" w:cs="Arial"/>
          <w:sz w:val="24"/>
          <w:szCs w:val="24"/>
        </w:rPr>
        <w:t xml:space="preserve">completing the questionnaire </w:t>
      </w:r>
      <w:r w:rsidR="000B0CF6">
        <w:rPr>
          <w:rFonts w:ascii="Arial" w:hAnsi="Arial" w:cs="Arial"/>
          <w:sz w:val="24"/>
          <w:szCs w:val="24"/>
        </w:rPr>
        <w:t xml:space="preserve">than the </w:t>
      </w:r>
      <w:r w:rsidR="00D1700C">
        <w:rPr>
          <w:rFonts w:ascii="Arial" w:hAnsi="Arial" w:cs="Arial"/>
          <w:sz w:val="24"/>
          <w:szCs w:val="24"/>
        </w:rPr>
        <w:t xml:space="preserve">previous year, </w:t>
      </w:r>
      <w:r w:rsidR="007D5D68">
        <w:rPr>
          <w:rFonts w:ascii="Arial" w:hAnsi="Arial" w:cs="Arial"/>
          <w:sz w:val="24"/>
          <w:szCs w:val="24"/>
        </w:rPr>
        <w:t>2012/13</w:t>
      </w:r>
      <w:r w:rsidR="00D1700C">
        <w:rPr>
          <w:rFonts w:ascii="Arial" w:hAnsi="Arial" w:cs="Arial"/>
          <w:sz w:val="24"/>
          <w:szCs w:val="24"/>
        </w:rPr>
        <w:t xml:space="preserve"> </w:t>
      </w:r>
      <w:r w:rsidR="007D5D68">
        <w:rPr>
          <w:rFonts w:ascii="Arial" w:hAnsi="Arial" w:cs="Arial"/>
          <w:sz w:val="24"/>
          <w:szCs w:val="24"/>
        </w:rPr>
        <w:t>296 patients</w:t>
      </w:r>
      <w:r w:rsidR="00D1700C">
        <w:rPr>
          <w:rFonts w:ascii="Arial" w:hAnsi="Arial" w:cs="Arial"/>
          <w:sz w:val="24"/>
          <w:szCs w:val="24"/>
        </w:rPr>
        <w:t xml:space="preserve"> completed the questionnaire. This would enable the practice </w:t>
      </w:r>
      <w:r w:rsidR="00867485">
        <w:rPr>
          <w:rFonts w:ascii="Arial" w:hAnsi="Arial" w:cs="Arial"/>
          <w:sz w:val="24"/>
          <w:szCs w:val="24"/>
        </w:rPr>
        <w:t xml:space="preserve">get a </w:t>
      </w:r>
      <w:r w:rsidR="00D1700C">
        <w:rPr>
          <w:rFonts w:ascii="Arial" w:hAnsi="Arial" w:cs="Arial"/>
          <w:sz w:val="24"/>
          <w:szCs w:val="24"/>
        </w:rPr>
        <w:t xml:space="preserve">true </w:t>
      </w:r>
      <w:r w:rsidR="00867485">
        <w:rPr>
          <w:rFonts w:ascii="Arial" w:hAnsi="Arial" w:cs="Arial"/>
          <w:sz w:val="24"/>
          <w:szCs w:val="24"/>
        </w:rPr>
        <w:t xml:space="preserve">cross reference of the practice </w:t>
      </w:r>
      <w:r w:rsidR="00BE598A">
        <w:rPr>
          <w:rFonts w:ascii="Arial" w:hAnsi="Arial" w:cs="Arial"/>
          <w:sz w:val="24"/>
          <w:szCs w:val="24"/>
        </w:rPr>
        <w:t>population’s</w:t>
      </w:r>
      <w:r w:rsidR="00D1700C">
        <w:rPr>
          <w:rFonts w:ascii="Arial" w:hAnsi="Arial" w:cs="Arial"/>
          <w:sz w:val="24"/>
          <w:szCs w:val="24"/>
        </w:rPr>
        <w:t xml:space="preserve"> views.</w:t>
      </w:r>
      <w:r w:rsidR="007D5D68">
        <w:rPr>
          <w:rFonts w:ascii="Arial" w:hAnsi="Arial" w:cs="Arial"/>
          <w:sz w:val="24"/>
          <w:szCs w:val="24"/>
        </w:rPr>
        <w:t xml:space="preserve"> It was decided to achieve this we would target</w:t>
      </w:r>
      <w:r w:rsidR="005E01A7">
        <w:rPr>
          <w:rFonts w:ascii="Arial" w:hAnsi="Arial" w:cs="Arial"/>
          <w:sz w:val="24"/>
          <w:szCs w:val="24"/>
        </w:rPr>
        <w:t xml:space="preserve"> f</w:t>
      </w:r>
      <w:r w:rsidR="00867485">
        <w:rPr>
          <w:rFonts w:ascii="Arial" w:hAnsi="Arial" w:cs="Arial"/>
          <w:sz w:val="24"/>
          <w:szCs w:val="24"/>
        </w:rPr>
        <w:t>l</w:t>
      </w:r>
      <w:r w:rsidR="005E01A7">
        <w:rPr>
          <w:rFonts w:ascii="Arial" w:hAnsi="Arial" w:cs="Arial"/>
          <w:sz w:val="24"/>
          <w:szCs w:val="24"/>
        </w:rPr>
        <w:t>u</w:t>
      </w:r>
      <w:r w:rsidR="007D5D68">
        <w:rPr>
          <w:rFonts w:ascii="Arial" w:hAnsi="Arial" w:cs="Arial"/>
          <w:sz w:val="24"/>
          <w:szCs w:val="24"/>
        </w:rPr>
        <w:t xml:space="preserve"> and</w:t>
      </w:r>
      <w:r w:rsidR="00867485">
        <w:rPr>
          <w:rFonts w:ascii="Arial" w:hAnsi="Arial" w:cs="Arial"/>
          <w:sz w:val="24"/>
          <w:szCs w:val="24"/>
        </w:rPr>
        <w:t xml:space="preserve"> </w:t>
      </w:r>
      <w:r w:rsidR="005E01A7">
        <w:rPr>
          <w:rFonts w:ascii="Arial" w:hAnsi="Arial" w:cs="Arial"/>
          <w:sz w:val="24"/>
          <w:szCs w:val="24"/>
        </w:rPr>
        <w:t xml:space="preserve">child </w:t>
      </w:r>
      <w:r w:rsidR="00867485">
        <w:rPr>
          <w:rFonts w:ascii="Arial" w:hAnsi="Arial" w:cs="Arial"/>
          <w:sz w:val="24"/>
          <w:szCs w:val="24"/>
        </w:rPr>
        <w:t>immunisations clin</w:t>
      </w:r>
      <w:r w:rsidR="005E01A7">
        <w:rPr>
          <w:rFonts w:ascii="Arial" w:hAnsi="Arial" w:cs="Arial"/>
          <w:sz w:val="24"/>
          <w:szCs w:val="24"/>
        </w:rPr>
        <w:t>ic</w:t>
      </w:r>
      <w:r w:rsidR="00867485">
        <w:rPr>
          <w:rFonts w:ascii="Arial" w:hAnsi="Arial" w:cs="Arial"/>
          <w:sz w:val="24"/>
          <w:szCs w:val="24"/>
        </w:rPr>
        <w:t>s</w:t>
      </w:r>
      <w:r w:rsidR="005E01A7">
        <w:rPr>
          <w:rFonts w:ascii="Arial" w:hAnsi="Arial" w:cs="Arial"/>
          <w:sz w:val="24"/>
          <w:szCs w:val="24"/>
        </w:rPr>
        <w:t xml:space="preserve">, </w:t>
      </w:r>
      <w:r w:rsidR="005E01A7" w:rsidRPr="00A90681">
        <w:rPr>
          <w:rFonts w:ascii="Arial" w:hAnsi="Arial" w:cs="Arial"/>
          <w:sz w:val="24"/>
          <w:szCs w:val="24"/>
        </w:rPr>
        <w:t xml:space="preserve">parents at the Stoke Golding mums and tots group </w:t>
      </w:r>
      <w:r w:rsidR="00867485">
        <w:rPr>
          <w:rFonts w:ascii="Arial" w:hAnsi="Arial" w:cs="Arial"/>
          <w:sz w:val="24"/>
          <w:szCs w:val="24"/>
        </w:rPr>
        <w:t xml:space="preserve">as well as </w:t>
      </w:r>
      <w:r w:rsidR="005E01A7">
        <w:rPr>
          <w:rFonts w:ascii="Arial" w:hAnsi="Arial" w:cs="Arial"/>
          <w:sz w:val="24"/>
          <w:szCs w:val="24"/>
        </w:rPr>
        <w:t xml:space="preserve">surveys left in reception, </w:t>
      </w:r>
      <w:r w:rsidR="00867485">
        <w:rPr>
          <w:rFonts w:ascii="Arial" w:hAnsi="Arial" w:cs="Arial"/>
          <w:sz w:val="24"/>
          <w:szCs w:val="24"/>
        </w:rPr>
        <w:t>posted on the website</w:t>
      </w:r>
      <w:r w:rsidR="005E01A7" w:rsidRPr="005E01A7">
        <w:rPr>
          <w:rFonts w:ascii="Arial" w:hAnsi="Arial" w:cs="Arial"/>
          <w:sz w:val="24"/>
          <w:szCs w:val="24"/>
        </w:rPr>
        <w:t xml:space="preserve"> </w:t>
      </w:r>
      <w:r w:rsidR="005E01A7">
        <w:rPr>
          <w:rFonts w:ascii="Arial" w:hAnsi="Arial" w:cs="Arial"/>
          <w:sz w:val="24"/>
          <w:szCs w:val="24"/>
        </w:rPr>
        <w:t>and emailed to our online reference group.</w:t>
      </w:r>
      <w:r w:rsidR="00867485">
        <w:rPr>
          <w:rFonts w:ascii="Arial" w:hAnsi="Arial" w:cs="Arial"/>
          <w:sz w:val="24"/>
          <w:szCs w:val="24"/>
        </w:rPr>
        <w:t xml:space="preserve"> </w:t>
      </w:r>
      <w:r w:rsidR="007D5D68">
        <w:rPr>
          <w:rFonts w:ascii="Arial" w:hAnsi="Arial" w:cs="Arial"/>
          <w:sz w:val="24"/>
          <w:szCs w:val="24"/>
        </w:rPr>
        <w:t xml:space="preserve">CASAG </w:t>
      </w:r>
      <w:r w:rsidR="00867485">
        <w:rPr>
          <w:rFonts w:ascii="Arial" w:hAnsi="Arial" w:cs="Arial"/>
          <w:sz w:val="24"/>
          <w:szCs w:val="24"/>
        </w:rPr>
        <w:t>Group member</w:t>
      </w:r>
      <w:r w:rsidR="007D5D68">
        <w:rPr>
          <w:rFonts w:ascii="Arial" w:hAnsi="Arial" w:cs="Arial"/>
          <w:sz w:val="24"/>
          <w:szCs w:val="24"/>
        </w:rPr>
        <w:t xml:space="preserve">s </w:t>
      </w:r>
      <w:r w:rsidR="00867485">
        <w:rPr>
          <w:rFonts w:ascii="Arial" w:hAnsi="Arial" w:cs="Arial"/>
          <w:sz w:val="24"/>
          <w:szCs w:val="24"/>
        </w:rPr>
        <w:t xml:space="preserve">volunteered to distribute and help patients fill </w:t>
      </w:r>
      <w:r w:rsidR="007D5D68">
        <w:rPr>
          <w:rFonts w:ascii="Arial" w:hAnsi="Arial" w:cs="Arial"/>
          <w:sz w:val="24"/>
          <w:szCs w:val="24"/>
        </w:rPr>
        <w:t>in the questionnaires</w:t>
      </w:r>
      <w:r w:rsidR="00867485">
        <w:rPr>
          <w:rFonts w:ascii="Arial" w:hAnsi="Arial" w:cs="Arial"/>
          <w:sz w:val="24"/>
          <w:szCs w:val="24"/>
        </w:rPr>
        <w:t>.</w:t>
      </w:r>
    </w:p>
    <w:p w:rsidR="005E01A7" w:rsidRDefault="00A90681" w:rsidP="00A90681">
      <w:pPr>
        <w:jc w:val="both"/>
        <w:rPr>
          <w:rFonts w:ascii="Arial" w:hAnsi="Arial" w:cs="Arial"/>
          <w:sz w:val="24"/>
          <w:szCs w:val="24"/>
        </w:rPr>
      </w:pPr>
      <w:r w:rsidRPr="00A90681">
        <w:rPr>
          <w:rFonts w:ascii="Arial" w:hAnsi="Arial" w:cs="Arial"/>
          <w:sz w:val="24"/>
          <w:szCs w:val="24"/>
        </w:rPr>
        <w:t>We had an excellent response rate to our Patient Satisfaction S</w:t>
      </w:r>
      <w:r w:rsidR="00867485">
        <w:rPr>
          <w:rFonts w:ascii="Arial" w:hAnsi="Arial" w:cs="Arial"/>
          <w:sz w:val="24"/>
          <w:szCs w:val="24"/>
        </w:rPr>
        <w:t xml:space="preserve">urvey </w:t>
      </w:r>
      <w:r w:rsidRPr="00A90681">
        <w:rPr>
          <w:rFonts w:ascii="Arial" w:hAnsi="Arial" w:cs="Arial"/>
          <w:sz w:val="24"/>
          <w:szCs w:val="24"/>
        </w:rPr>
        <w:t xml:space="preserve">with over 900 patients giving us their feedback. </w:t>
      </w:r>
    </w:p>
    <w:p w:rsidR="00A90681" w:rsidRPr="00A90681" w:rsidRDefault="00A90681" w:rsidP="00A90681">
      <w:pPr>
        <w:jc w:val="both"/>
        <w:rPr>
          <w:rFonts w:ascii="Arial" w:hAnsi="Arial" w:cs="Arial"/>
          <w:sz w:val="24"/>
          <w:szCs w:val="24"/>
        </w:rPr>
      </w:pPr>
      <w:r w:rsidRPr="00A90681">
        <w:rPr>
          <w:rFonts w:ascii="Arial" w:hAnsi="Arial" w:cs="Arial"/>
          <w:sz w:val="24"/>
          <w:szCs w:val="24"/>
        </w:rPr>
        <w:t>Age r</w:t>
      </w:r>
      <w:r w:rsidR="007318F6">
        <w:rPr>
          <w:rFonts w:ascii="Arial" w:hAnsi="Arial" w:cs="Arial"/>
          <w:sz w:val="24"/>
          <w:szCs w:val="24"/>
        </w:rPr>
        <w:t>ange of patients</w:t>
      </w:r>
      <w:r w:rsidRPr="00A90681">
        <w:rPr>
          <w:rFonts w:ascii="Arial" w:hAnsi="Arial" w:cs="Arial"/>
          <w:sz w:val="24"/>
          <w:szCs w:val="24"/>
        </w:rPr>
        <w:t xml:space="preserve"> completing the survey:</w:t>
      </w:r>
    </w:p>
    <w:p w:rsidR="00A90681" w:rsidRPr="00A90681" w:rsidRDefault="00A90681" w:rsidP="00A90681">
      <w:pPr>
        <w:jc w:val="both"/>
        <w:rPr>
          <w:rFonts w:ascii="Arial" w:hAnsi="Arial" w:cs="Arial"/>
          <w:sz w:val="24"/>
          <w:szCs w:val="24"/>
        </w:rPr>
      </w:pPr>
      <w:r w:rsidRPr="00A90681">
        <w:rPr>
          <w:rFonts w:ascii="Arial" w:hAnsi="Arial" w:cs="Arial"/>
          <w:sz w:val="24"/>
          <w:szCs w:val="24"/>
        </w:rPr>
        <w:t xml:space="preserve"> </w:t>
      </w:r>
      <w:r w:rsidRPr="00A90681">
        <w:rPr>
          <w:rFonts w:ascii="Arial" w:hAnsi="Arial" w:cs="Arial"/>
          <w:b/>
          <w:sz w:val="24"/>
          <w:szCs w:val="24"/>
        </w:rPr>
        <w:t>0-13yrs</w:t>
      </w:r>
      <w:r w:rsidRPr="00A90681">
        <w:rPr>
          <w:rFonts w:ascii="Arial" w:hAnsi="Arial" w:cs="Arial"/>
          <w:sz w:val="24"/>
          <w:szCs w:val="24"/>
        </w:rPr>
        <w:t xml:space="preserve"> 0.60% </w:t>
      </w:r>
      <w:r w:rsidRPr="00A90681">
        <w:rPr>
          <w:rFonts w:ascii="Arial" w:hAnsi="Arial" w:cs="Arial"/>
          <w:b/>
          <w:sz w:val="24"/>
          <w:szCs w:val="24"/>
        </w:rPr>
        <w:t>14-20yrs</w:t>
      </w:r>
      <w:r w:rsidRPr="00A90681">
        <w:rPr>
          <w:rFonts w:ascii="Arial" w:hAnsi="Arial" w:cs="Arial"/>
          <w:sz w:val="24"/>
          <w:szCs w:val="24"/>
        </w:rPr>
        <w:t xml:space="preserve"> 0.89% </w:t>
      </w:r>
      <w:r w:rsidRPr="00A90681">
        <w:rPr>
          <w:rFonts w:ascii="Arial" w:hAnsi="Arial" w:cs="Arial"/>
          <w:b/>
          <w:sz w:val="24"/>
          <w:szCs w:val="24"/>
        </w:rPr>
        <w:t>21-30yrs</w:t>
      </w:r>
      <w:r w:rsidRPr="00A90681">
        <w:rPr>
          <w:rFonts w:ascii="Arial" w:hAnsi="Arial" w:cs="Arial"/>
          <w:sz w:val="24"/>
          <w:szCs w:val="24"/>
        </w:rPr>
        <w:t xml:space="preserve"> 2.80%  </w:t>
      </w:r>
      <w:r w:rsidRPr="00A90681">
        <w:rPr>
          <w:rFonts w:ascii="Arial" w:hAnsi="Arial" w:cs="Arial"/>
          <w:b/>
          <w:sz w:val="24"/>
          <w:szCs w:val="24"/>
        </w:rPr>
        <w:t>31-40yrs</w:t>
      </w:r>
      <w:r w:rsidRPr="00A90681">
        <w:rPr>
          <w:rFonts w:ascii="Arial" w:hAnsi="Arial" w:cs="Arial"/>
          <w:sz w:val="24"/>
          <w:szCs w:val="24"/>
        </w:rPr>
        <w:t xml:space="preserve"> 4.12%  </w:t>
      </w:r>
    </w:p>
    <w:p w:rsidR="00A90681" w:rsidRPr="00A90681" w:rsidRDefault="00A90681" w:rsidP="00A90681">
      <w:pPr>
        <w:jc w:val="both"/>
        <w:rPr>
          <w:rFonts w:ascii="Arial" w:hAnsi="Arial" w:cs="Arial"/>
          <w:sz w:val="24"/>
          <w:szCs w:val="24"/>
        </w:rPr>
      </w:pPr>
      <w:r w:rsidRPr="00A90681">
        <w:rPr>
          <w:rFonts w:ascii="Arial" w:hAnsi="Arial" w:cs="Arial"/>
          <w:b/>
          <w:sz w:val="24"/>
          <w:szCs w:val="24"/>
        </w:rPr>
        <w:t>41-50yrs</w:t>
      </w:r>
      <w:r w:rsidRPr="00A90681">
        <w:rPr>
          <w:rFonts w:ascii="Arial" w:hAnsi="Arial" w:cs="Arial"/>
          <w:sz w:val="24"/>
          <w:szCs w:val="24"/>
        </w:rPr>
        <w:t xml:space="preserve"> 7.36</w:t>
      </w:r>
      <w:proofErr w:type="gramStart"/>
      <w:r w:rsidRPr="00A90681">
        <w:rPr>
          <w:rFonts w:ascii="Arial" w:hAnsi="Arial" w:cs="Arial"/>
          <w:sz w:val="24"/>
          <w:szCs w:val="24"/>
        </w:rPr>
        <w:t xml:space="preserve">%  </w:t>
      </w:r>
      <w:r w:rsidRPr="00A90681">
        <w:rPr>
          <w:rFonts w:ascii="Arial" w:hAnsi="Arial" w:cs="Arial"/>
          <w:b/>
          <w:sz w:val="24"/>
          <w:szCs w:val="24"/>
        </w:rPr>
        <w:t>51</w:t>
      </w:r>
      <w:proofErr w:type="gramEnd"/>
      <w:r w:rsidRPr="00A90681">
        <w:rPr>
          <w:rFonts w:ascii="Arial" w:hAnsi="Arial" w:cs="Arial"/>
          <w:b/>
          <w:sz w:val="24"/>
          <w:szCs w:val="24"/>
        </w:rPr>
        <w:t>-60yrs</w:t>
      </w:r>
      <w:r w:rsidRPr="00A90681">
        <w:rPr>
          <w:rFonts w:ascii="Arial" w:hAnsi="Arial" w:cs="Arial"/>
          <w:sz w:val="24"/>
          <w:szCs w:val="24"/>
        </w:rPr>
        <w:t xml:space="preserve"> 10.46% </w:t>
      </w:r>
      <w:r w:rsidRPr="00A90681">
        <w:rPr>
          <w:rFonts w:ascii="Arial" w:hAnsi="Arial" w:cs="Arial"/>
          <w:b/>
          <w:sz w:val="24"/>
          <w:szCs w:val="24"/>
        </w:rPr>
        <w:t>61-70yrs</w:t>
      </w:r>
      <w:r w:rsidRPr="00A90681">
        <w:rPr>
          <w:rFonts w:ascii="Arial" w:hAnsi="Arial" w:cs="Arial"/>
          <w:sz w:val="24"/>
          <w:szCs w:val="24"/>
        </w:rPr>
        <w:t xml:space="preserve"> 34.60%  </w:t>
      </w:r>
    </w:p>
    <w:p w:rsidR="00A90681" w:rsidRDefault="00A90681" w:rsidP="00A90681">
      <w:pPr>
        <w:jc w:val="both"/>
        <w:rPr>
          <w:rFonts w:ascii="Arial" w:hAnsi="Arial" w:cs="Arial"/>
          <w:sz w:val="24"/>
          <w:szCs w:val="24"/>
        </w:rPr>
      </w:pPr>
      <w:r w:rsidRPr="00A90681">
        <w:rPr>
          <w:rFonts w:ascii="Arial" w:hAnsi="Arial" w:cs="Arial"/>
          <w:b/>
          <w:sz w:val="24"/>
          <w:szCs w:val="24"/>
        </w:rPr>
        <w:t>71-80yrs</w:t>
      </w:r>
      <w:r w:rsidRPr="00A90681">
        <w:rPr>
          <w:rFonts w:ascii="Arial" w:hAnsi="Arial" w:cs="Arial"/>
          <w:sz w:val="24"/>
          <w:szCs w:val="24"/>
        </w:rPr>
        <w:t xml:space="preserve"> 27.54% </w:t>
      </w:r>
      <w:r w:rsidRPr="00A90681">
        <w:rPr>
          <w:rFonts w:ascii="Arial" w:hAnsi="Arial" w:cs="Arial"/>
          <w:b/>
          <w:sz w:val="24"/>
          <w:szCs w:val="24"/>
        </w:rPr>
        <w:t>81yrs</w:t>
      </w:r>
      <w:r w:rsidRPr="00A90681">
        <w:rPr>
          <w:rFonts w:ascii="Arial" w:hAnsi="Arial" w:cs="Arial"/>
          <w:sz w:val="24"/>
          <w:szCs w:val="24"/>
        </w:rPr>
        <w:t xml:space="preserve"> and above 11.63% </w:t>
      </w:r>
    </w:p>
    <w:p w:rsidR="005E01A7" w:rsidRDefault="005E01A7" w:rsidP="005E01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results, </w:t>
      </w:r>
      <w:r w:rsidRPr="0034425F">
        <w:rPr>
          <w:rFonts w:ascii="Arial" w:hAnsi="Arial" w:cs="Arial"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 and action plan</w:t>
      </w:r>
      <w:r w:rsidRPr="003442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Pr="0034425F">
        <w:rPr>
          <w:rFonts w:ascii="Arial" w:hAnsi="Arial" w:cs="Arial"/>
          <w:sz w:val="24"/>
          <w:szCs w:val="24"/>
        </w:rPr>
        <w:t xml:space="preserve"> discussed in detail within the practice and also at the CASAG meeting on 11/2/14</w:t>
      </w:r>
      <w:r w:rsidR="000B0CF6">
        <w:rPr>
          <w:rFonts w:ascii="Arial" w:hAnsi="Arial" w:cs="Arial"/>
          <w:sz w:val="24"/>
          <w:szCs w:val="24"/>
        </w:rPr>
        <w:t xml:space="preserve"> with its members</w:t>
      </w:r>
      <w:r w:rsidRPr="0034425F">
        <w:rPr>
          <w:rFonts w:ascii="Arial" w:hAnsi="Arial" w:cs="Arial"/>
          <w:sz w:val="24"/>
          <w:szCs w:val="24"/>
        </w:rPr>
        <w:t xml:space="preserve">. The action plan </w:t>
      </w:r>
      <w:r>
        <w:rPr>
          <w:rFonts w:ascii="Arial" w:hAnsi="Arial" w:cs="Arial"/>
          <w:sz w:val="24"/>
          <w:szCs w:val="24"/>
        </w:rPr>
        <w:t>has</w:t>
      </w:r>
      <w:r w:rsidRPr="0034425F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en</w:t>
      </w:r>
      <w:r w:rsidRPr="0034425F">
        <w:rPr>
          <w:rFonts w:ascii="Arial" w:hAnsi="Arial" w:cs="Arial"/>
          <w:sz w:val="24"/>
          <w:szCs w:val="24"/>
        </w:rPr>
        <w:t xml:space="preserve"> displayed in the waiting rooms and on-line for all interested patients to read</w:t>
      </w:r>
      <w:r w:rsidR="000B0CF6">
        <w:rPr>
          <w:rFonts w:ascii="Arial" w:hAnsi="Arial" w:cs="Arial"/>
          <w:sz w:val="24"/>
          <w:szCs w:val="24"/>
        </w:rPr>
        <w:t xml:space="preserve"> as well as emailed to the reference group,  local Health watch in Leicester and West Leicestershire CCG</w:t>
      </w:r>
      <w:r w:rsidRPr="0034425F">
        <w:rPr>
          <w:rFonts w:ascii="Arial" w:hAnsi="Arial" w:cs="Arial"/>
          <w:sz w:val="24"/>
          <w:szCs w:val="24"/>
        </w:rPr>
        <w:t xml:space="preserve">. The next </w:t>
      </w:r>
      <w:r w:rsidR="000B0CF6">
        <w:rPr>
          <w:rFonts w:ascii="Arial" w:hAnsi="Arial" w:cs="Arial"/>
          <w:sz w:val="24"/>
          <w:szCs w:val="24"/>
        </w:rPr>
        <w:t>‘</w:t>
      </w:r>
      <w:r w:rsidRPr="0034425F">
        <w:rPr>
          <w:rFonts w:ascii="Arial" w:hAnsi="Arial" w:cs="Arial"/>
          <w:sz w:val="24"/>
          <w:szCs w:val="24"/>
        </w:rPr>
        <w:t>CASAG</w:t>
      </w:r>
      <w:r w:rsidR="000B0CF6">
        <w:rPr>
          <w:rFonts w:ascii="Arial" w:hAnsi="Arial" w:cs="Arial"/>
          <w:sz w:val="24"/>
          <w:szCs w:val="24"/>
        </w:rPr>
        <w:t>’</w:t>
      </w:r>
      <w:r w:rsidRPr="0034425F">
        <w:rPr>
          <w:rFonts w:ascii="Arial" w:hAnsi="Arial" w:cs="Arial"/>
          <w:sz w:val="24"/>
          <w:szCs w:val="24"/>
        </w:rPr>
        <w:t xml:space="preserve"> newsletter will also have this as its key feature.</w:t>
      </w:r>
    </w:p>
    <w:p w:rsidR="00D92038" w:rsidRPr="0034425F" w:rsidRDefault="00D92038" w:rsidP="00A90681">
      <w:p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b/>
          <w:sz w:val="24"/>
          <w:szCs w:val="24"/>
        </w:rPr>
        <w:t>The key findings were very pleasing to the practice team</w:t>
      </w:r>
      <w:r w:rsidRPr="0034425F">
        <w:rPr>
          <w:rFonts w:ascii="Arial" w:hAnsi="Arial" w:cs="Arial"/>
          <w:sz w:val="24"/>
          <w:szCs w:val="24"/>
        </w:rPr>
        <w:t>:</w:t>
      </w:r>
    </w:p>
    <w:p w:rsidR="00D92038" w:rsidRPr="0034425F" w:rsidRDefault="00D92038" w:rsidP="000C6E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 xml:space="preserve">Over 90% of patients felt that the treatment they received from the receptionists, doctor and nurses was good or excellent. A whopping 99.7% of our patients would recommend the surgery to their friends and family. </w:t>
      </w:r>
    </w:p>
    <w:p w:rsidR="000C6EFE" w:rsidRPr="0034425F" w:rsidRDefault="000C6EFE" w:rsidP="000C6EF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A0861" w:rsidRPr="0034425F" w:rsidRDefault="002A0861" w:rsidP="000C6E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>We received some very positive comments about the practice, a small selection are detailed below:</w:t>
      </w:r>
    </w:p>
    <w:p w:rsidR="002A0861" w:rsidRPr="0034425F" w:rsidRDefault="002A0861" w:rsidP="000C6EFE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34425F">
        <w:rPr>
          <w:rFonts w:ascii="Arial" w:hAnsi="Arial" w:cs="Arial"/>
          <w:i/>
          <w:sz w:val="24"/>
          <w:szCs w:val="24"/>
        </w:rPr>
        <w:t>This is a practice that is very well run and keeps up to date with new services – very satisfied.</w:t>
      </w:r>
    </w:p>
    <w:p w:rsidR="002A0861" w:rsidRPr="0034425F" w:rsidRDefault="002A0861" w:rsidP="000C6EFE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34425F">
        <w:rPr>
          <w:rFonts w:ascii="Arial" w:hAnsi="Arial" w:cs="Arial"/>
          <w:i/>
          <w:sz w:val="24"/>
          <w:szCs w:val="24"/>
        </w:rPr>
        <w:t>I want to say how impressed and satisfied I am.</w:t>
      </w:r>
    </w:p>
    <w:p w:rsidR="002A0861" w:rsidRPr="0034425F" w:rsidRDefault="002A0861" w:rsidP="000C6EFE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34425F">
        <w:rPr>
          <w:rFonts w:ascii="Arial" w:hAnsi="Arial" w:cs="Arial"/>
          <w:i/>
          <w:sz w:val="24"/>
          <w:szCs w:val="24"/>
        </w:rPr>
        <w:t>The services and staff are excellent at Stoke Golding.</w:t>
      </w:r>
    </w:p>
    <w:p w:rsidR="002A0861" w:rsidRPr="0034425F" w:rsidRDefault="002A0861" w:rsidP="000C6EFE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34425F">
        <w:rPr>
          <w:rFonts w:ascii="Arial" w:hAnsi="Arial" w:cs="Arial"/>
          <w:i/>
          <w:sz w:val="24"/>
          <w:szCs w:val="24"/>
        </w:rPr>
        <w:t>My son has social and communication difficulties – the doctors and nurses have always been very patient and understanding. We think they are super!</w:t>
      </w:r>
    </w:p>
    <w:p w:rsidR="002A0861" w:rsidRPr="0034425F" w:rsidRDefault="002A0861" w:rsidP="000C6EFE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34425F">
        <w:rPr>
          <w:rFonts w:ascii="Arial" w:hAnsi="Arial" w:cs="Arial"/>
          <w:i/>
          <w:sz w:val="24"/>
          <w:szCs w:val="24"/>
        </w:rPr>
        <w:t>Harley Street could not be better.</w:t>
      </w:r>
    </w:p>
    <w:p w:rsidR="007D5D68" w:rsidRDefault="007D5D68" w:rsidP="007D5D68">
      <w:pPr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0000" w:themeColor="text1"/>
          <w:sz w:val="28"/>
          <w:szCs w:val="28"/>
          <w:lang w:eastAsia="en-GB"/>
        </w:rPr>
      </w:pPr>
    </w:p>
    <w:p w:rsidR="007D5D68" w:rsidRDefault="007D5D68" w:rsidP="007D5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0000" w:themeColor="text1"/>
          <w:sz w:val="28"/>
          <w:szCs w:val="28"/>
          <w:lang w:eastAsia="en-GB"/>
        </w:rPr>
      </w:pPr>
      <w:r>
        <w:rPr>
          <w:rFonts w:ascii="Arial Rounded MT Bold" w:eastAsia="Times New Roman" w:hAnsi="Arial Rounded MT Bold" w:cs="Arial"/>
          <w:bCs/>
          <w:color w:val="000000" w:themeColor="text1"/>
          <w:sz w:val="28"/>
          <w:szCs w:val="28"/>
          <w:lang w:eastAsia="en-GB"/>
        </w:rPr>
        <w:t>Patient Survey Results 2013/14</w:t>
      </w:r>
    </w:p>
    <w:p w:rsidR="007D5D68" w:rsidRDefault="007D5D68" w:rsidP="007D5D68">
      <w:pPr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0000" w:themeColor="text1"/>
          <w:sz w:val="28"/>
          <w:szCs w:val="28"/>
          <w:lang w:eastAsia="en-GB"/>
        </w:rPr>
      </w:pPr>
    </w:p>
    <w:p w:rsidR="007D5D68" w:rsidRPr="00CF1590" w:rsidRDefault="007D5D68" w:rsidP="007D5D68">
      <w:pPr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0000" w:themeColor="text1"/>
          <w:sz w:val="28"/>
          <w:szCs w:val="28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Q1. How do you rate the hours that the practice is open?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7003" w:tblpY="18"/>
        <w:tblW w:w="1996" w:type="dxa"/>
        <w:tblLook w:val="04A0" w:firstRow="1" w:lastRow="0" w:firstColumn="1" w:lastColumn="0" w:noHBand="0" w:noVBand="1"/>
      </w:tblPr>
      <w:tblGrid>
        <w:gridCol w:w="1116"/>
        <w:gridCol w:w="880"/>
      </w:tblGrid>
      <w:tr w:rsidR="007D5D68" w:rsidRPr="00AB3C1D" w:rsidTr="007D5D68">
        <w:trPr>
          <w:trHeight w:val="35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25.81%</w:t>
            </w:r>
          </w:p>
        </w:tc>
      </w:tr>
      <w:tr w:rsidR="007D5D68" w:rsidRPr="00AB3C1D" w:rsidTr="007D5D68">
        <w:trPr>
          <w:trHeight w:val="356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55.58%</w:t>
            </w:r>
          </w:p>
        </w:tc>
      </w:tr>
      <w:tr w:rsidR="007D5D68" w:rsidRPr="00AB3C1D" w:rsidTr="007D5D68">
        <w:trPr>
          <w:trHeight w:val="356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15.61%</w:t>
            </w:r>
          </w:p>
        </w:tc>
      </w:tr>
      <w:tr w:rsidR="007D5D68" w:rsidRPr="00AB3C1D" w:rsidTr="007D5D68">
        <w:trPr>
          <w:trHeight w:val="356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2.04%</w:t>
            </w:r>
          </w:p>
        </w:tc>
      </w:tr>
      <w:tr w:rsidR="007D5D68" w:rsidRPr="00AB3C1D" w:rsidTr="007D5D68">
        <w:trPr>
          <w:trHeight w:val="356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0.24%</w:t>
            </w:r>
          </w:p>
        </w:tc>
      </w:tr>
      <w:tr w:rsidR="007D5D68" w:rsidRPr="00AB3C1D" w:rsidTr="007D5D68">
        <w:trPr>
          <w:trHeight w:val="907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0.72%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8"/>
          <w:szCs w:val="28"/>
          <w:lang w:eastAsia="en-GB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66F785BB" wp14:editId="40D24F7E">
            <wp:extent cx="3600450" cy="1743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Pr="00AB3C1D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Q2. If you have a disability how do you rate accessibility to the practice?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7123" w:tblpY="-7"/>
        <w:tblW w:w="1980" w:type="dxa"/>
        <w:tblLook w:val="04A0" w:firstRow="1" w:lastRow="0" w:firstColumn="1" w:lastColumn="0" w:noHBand="0" w:noVBand="1"/>
      </w:tblPr>
      <w:tblGrid>
        <w:gridCol w:w="1098"/>
        <w:gridCol w:w="882"/>
      </w:tblGrid>
      <w:tr w:rsidR="007D5D68" w:rsidRPr="00AB3C1D" w:rsidTr="007D5D68">
        <w:trPr>
          <w:trHeight w:val="3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21.08%</w:t>
            </w:r>
          </w:p>
        </w:tc>
      </w:tr>
      <w:tr w:rsidR="007D5D68" w:rsidRPr="00AB3C1D" w:rsidTr="007D5D68">
        <w:trPr>
          <w:trHeight w:val="377"/>
        </w:trPr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21.80%</w:t>
            </w:r>
          </w:p>
        </w:tc>
      </w:tr>
      <w:tr w:rsidR="007D5D68" w:rsidRPr="00AB3C1D" w:rsidTr="007D5D68">
        <w:trPr>
          <w:trHeight w:val="377"/>
        </w:trPr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3.56%</w:t>
            </w:r>
          </w:p>
        </w:tc>
      </w:tr>
      <w:tr w:rsidR="007D5D68" w:rsidRPr="00AB3C1D" w:rsidTr="007D5D68">
        <w:trPr>
          <w:trHeight w:val="377"/>
        </w:trPr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1.14%</w:t>
            </w:r>
          </w:p>
        </w:tc>
      </w:tr>
      <w:tr w:rsidR="007D5D68" w:rsidRPr="00AB3C1D" w:rsidTr="007D5D68">
        <w:trPr>
          <w:trHeight w:val="377"/>
        </w:trPr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0.28%</w:t>
            </w:r>
          </w:p>
        </w:tc>
      </w:tr>
      <w:tr w:rsidR="007D5D68" w:rsidRPr="00AB3C1D" w:rsidTr="007D5D68">
        <w:trPr>
          <w:trHeight w:val="962"/>
        </w:trPr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52.14%</w:t>
            </w:r>
          </w:p>
        </w:tc>
      </w:tr>
    </w:tbl>
    <w:p w:rsidR="007D5D68" w:rsidRPr="00AB3C1D" w:rsidRDefault="007D5D68" w:rsidP="007D5D68">
      <w:pPr>
        <w:rPr>
          <w:rFonts w:ascii="Arial Rounded MT Bold" w:eastAsia="Times New Roman" w:hAnsi="Arial Rounded MT Bold" w:cs="Times New Roman"/>
          <w:sz w:val="36"/>
          <w:szCs w:val="36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182122F6" wp14:editId="4A46E73F">
            <wp:extent cx="3619500" cy="1847850"/>
            <wp:effectExtent l="0" t="0" r="19050" b="19050"/>
            <wp:docPr id="2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Q3. How do you rate the way you are treated by the receptionists at the practice?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7078" w:tblpY="-10"/>
        <w:tblW w:w="2140" w:type="dxa"/>
        <w:tblLook w:val="04A0" w:firstRow="1" w:lastRow="0" w:firstColumn="1" w:lastColumn="0" w:noHBand="0" w:noVBand="1"/>
      </w:tblPr>
      <w:tblGrid>
        <w:gridCol w:w="1137"/>
        <w:gridCol w:w="1003"/>
      </w:tblGrid>
      <w:tr w:rsidR="007D5D68" w:rsidRPr="00AB3C1D" w:rsidTr="007D5D68">
        <w:trPr>
          <w:trHeight w:val="36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60.12</w:t>
            </w:r>
          </w:p>
        </w:tc>
      </w:tr>
      <w:tr w:rsidR="007D5D68" w:rsidRPr="00AB3C1D" w:rsidTr="007D5D68">
        <w:trPr>
          <w:trHeight w:val="361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30.67</w:t>
            </w:r>
          </w:p>
        </w:tc>
      </w:tr>
      <w:tr w:rsidR="007D5D68" w:rsidRPr="00AB3C1D" w:rsidTr="007D5D68">
        <w:trPr>
          <w:trHeight w:val="361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7.12</w:t>
            </w:r>
          </w:p>
        </w:tc>
      </w:tr>
      <w:tr w:rsidR="007D5D68" w:rsidRPr="00AB3C1D" w:rsidTr="007D5D68">
        <w:trPr>
          <w:trHeight w:val="361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1.23</w:t>
            </w:r>
          </w:p>
        </w:tc>
      </w:tr>
      <w:tr w:rsidR="007D5D68" w:rsidRPr="00AB3C1D" w:rsidTr="007D5D68">
        <w:trPr>
          <w:trHeight w:val="361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7D5D68" w:rsidRPr="00AB3C1D" w:rsidTr="007D5D68">
        <w:trPr>
          <w:trHeight w:val="93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22C24B3B" wp14:editId="12CCE14A">
            <wp:extent cx="3619500" cy="1743075"/>
            <wp:effectExtent l="0" t="0" r="19050" b="9525"/>
            <wp:docPr id="3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7D5D68" w:rsidRPr="004E4D5C" w:rsidRDefault="007D5D68" w:rsidP="007D5D6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Q4. How do you rate the ability to get through on the telephone?</w:t>
      </w:r>
    </w:p>
    <w:tbl>
      <w:tblPr>
        <w:tblpPr w:leftFromText="180" w:rightFromText="180" w:vertAnchor="text" w:horzAnchor="page" w:tblpX="7123" w:tblpY="49"/>
        <w:tblW w:w="2106" w:type="dxa"/>
        <w:tblLook w:val="04A0" w:firstRow="1" w:lastRow="0" w:firstColumn="1" w:lastColumn="0" w:noHBand="0" w:noVBand="1"/>
      </w:tblPr>
      <w:tblGrid>
        <w:gridCol w:w="1193"/>
        <w:gridCol w:w="913"/>
      </w:tblGrid>
      <w:tr w:rsidR="007D5D68" w:rsidRPr="00AB3C1D" w:rsidTr="007D5D68">
        <w:trPr>
          <w:trHeight w:val="35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19.90%</w:t>
            </w:r>
          </w:p>
        </w:tc>
      </w:tr>
      <w:tr w:rsidR="007D5D68" w:rsidRPr="00AB3C1D" w:rsidTr="007D5D68">
        <w:trPr>
          <w:trHeight w:val="35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39.32%</w:t>
            </w:r>
          </w:p>
        </w:tc>
      </w:tr>
      <w:tr w:rsidR="007D5D68" w:rsidRPr="00AB3C1D" w:rsidTr="007D5D68">
        <w:trPr>
          <w:trHeight w:val="35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29.98%</w:t>
            </w:r>
          </w:p>
        </w:tc>
      </w:tr>
      <w:tr w:rsidR="007D5D68" w:rsidRPr="00AB3C1D" w:rsidTr="007D5D68">
        <w:trPr>
          <w:trHeight w:val="35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6.92%</w:t>
            </w:r>
          </w:p>
        </w:tc>
      </w:tr>
      <w:tr w:rsidR="007D5D68" w:rsidRPr="00AB3C1D" w:rsidTr="007D5D68">
        <w:trPr>
          <w:trHeight w:val="35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1.94%</w:t>
            </w:r>
          </w:p>
        </w:tc>
      </w:tr>
      <w:tr w:rsidR="007D5D68" w:rsidRPr="00AB3C1D" w:rsidTr="007D5D68">
        <w:trPr>
          <w:trHeight w:val="90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1.94%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0700FE8C" wp14:editId="4C31FF20">
            <wp:extent cx="3619500" cy="1752600"/>
            <wp:effectExtent l="0" t="0" r="19050" b="19050"/>
            <wp:docPr id="4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Q5. How do you rate the ability to pre-book an appointment with a Doctor (up to 4 weeks in advance)?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7048" w:tblpY="6"/>
        <w:tblW w:w="1910" w:type="dxa"/>
        <w:tblLook w:val="04A0" w:firstRow="1" w:lastRow="0" w:firstColumn="1" w:lastColumn="0" w:noHBand="0" w:noVBand="1"/>
      </w:tblPr>
      <w:tblGrid>
        <w:gridCol w:w="1082"/>
        <w:gridCol w:w="828"/>
      </w:tblGrid>
      <w:tr w:rsidR="007D5D68" w:rsidRPr="00AB3C1D" w:rsidTr="007D5D68">
        <w:trPr>
          <w:trHeight w:val="32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33.87%</w:t>
            </w:r>
          </w:p>
        </w:tc>
      </w:tr>
      <w:tr w:rsidR="007D5D68" w:rsidRPr="00AB3C1D" w:rsidTr="007D5D68">
        <w:trPr>
          <w:trHeight w:val="329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38.87%</w:t>
            </w:r>
          </w:p>
        </w:tc>
      </w:tr>
      <w:tr w:rsidR="007D5D68" w:rsidRPr="00AB3C1D" w:rsidTr="007D5D68">
        <w:trPr>
          <w:trHeight w:val="329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15.50%</w:t>
            </w:r>
          </w:p>
        </w:tc>
      </w:tr>
      <w:tr w:rsidR="007D5D68" w:rsidRPr="00AB3C1D" w:rsidTr="007D5D68">
        <w:trPr>
          <w:trHeight w:val="329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3.38%</w:t>
            </w:r>
          </w:p>
        </w:tc>
      </w:tr>
      <w:tr w:rsidR="007D5D68" w:rsidRPr="00AB3C1D" w:rsidTr="007D5D68">
        <w:trPr>
          <w:trHeight w:val="329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2.13%</w:t>
            </w:r>
          </w:p>
        </w:tc>
      </w:tr>
      <w:tr w:rsidR="007D5D68" w:rsidRPr="00AB3C1D" w:rsidTr="007D5D68">
        <w:trPr>
          <w:trHeight w:val="838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6.25%</w:t>
            </w:r>
          </w:p>
        </w:tc>
      </w:tr>
    </w:tbl>
    <w:p w:rsidR="007D5D68" w:rsidRPr="00AB3C1D" w:rsidRDefault="007D5D68" w:rsidP="007D5D68">
      <w:pPr>
        <w:rPr>
          <w:rFonts w:ascii="Arial Rounded MT Bold" w:eastAsia="Times New Roman" w:hAnsi="Arial Rounded MT Bold" w:cs="Times New Roman"/>
          <w:sz w:val="24"/>
          <w:szCs w:val="24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0F892FE1" wp14:editId="1CFE8BA1">
            <wp:extent cx="3619500" cy="1609725"/>
            <wp:effectExtent l="0" t="0" r="19050" b="9525"/>
            <wp:docPr id="5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Q6. How do you rate being able to see a Doctor on the day for an urgent problem?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page" w:tblpX="7033" w:tblpY="35"/>
        <w:tblW w:w="1926" w:type="dxa"/>
        <w:tblLook w:val="04A0" w:firstRow="1" w:lastRow="0" w:firstColumn="1" w:lastColumn="0" w:noHBand="0" w:noVBand="1"/>
      </w:tblPr>
      <w:tblGrid>
        <w:gridCol w:w="1091"/>
        <w:gridCol w:w="835"/>
      </w:tblGrid>
      <w:tr w:rsidR="007D5D68" w:rsidRPr="00AB3C1D" w:rsidTr="007D5D68">
        <w:trPr>
          <w:trHeight w:val="3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37.52%</w:t>
            </w:r>
          </w:p>
        </w:tc>
      </w:tr>
      <w:tr w:rsidR="007D5D68" w:rsidRPr="00AB3C1D" w:rsidTr="007D5D68">
        <w:trPr>
          <w:trHeight w:val="3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37.89%</w:t>
            </w:r>
          </w:p>
        </w:tc>
      </w:tr>
      <w:tr w:rsidR="007D5D68" w:rsidRPr="00AB3C1D" w:rsidTr="007D5D68">
        <w:trPr>
          <w:trHeight w:val="3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13.54%</w:t>
            </w:r>
          </w:p>
        </w:tc>
      </w:tr>
      <w:tr w:rsidR="007D5D68" w:rsidRPr="00AB3C1D" w:rsidTr="007D5D68">
        <w:trPr>
          <w:trHeight w:val="3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3.11%</w:t>
            </w:r>
          </w:p>
        </w:tc>
      </w:tr>
      <w:tr w:rsidR="007D5D68" w:rsidRPr="00AB3C1D" w:rsidTr="007D5D68">
        <w:trPr>
          <w:trHeight w:val="3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1.49%</w:t>
            </w:r>
          </w:p>
        </w:tc>
      </w:tr>
      <w:tr w:rsidR="007D5D68" w:rsidRPr="00AB3C1D" w:rsidTr="007D5D68">
        <w:trPr>
          <w:trHeight w:val="867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6.45%</w:t>
            </w:r>
          </w:p>
        </w:tc>
      </w:tr>
    </w:tbl>
    <w:p w:rsidR="007D5D68" w:rsidRPr="00AB3C1D" w:rsidRDefault="007D5D68" w:rsidP="007D5D6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0FBB4217" wp14:editId="1DE315B8">
            <wp:extent cx="3619500" cy="1657350"/>
            <wp:effectExtent l="0" t="0" r="19050" b="19050"/>
            <wp:docPr id="6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Q7. How do you rate the ability to speak to a Doctor on the telephone (telephone consultation)?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page" w:tblpX="6973" w:tblpY="17"/>
        <w:tblW w:w="2041" w:type="dxa"/>
        <w:tblLook w:val="04A0" w:firstRow="1" w:lastRow="0" w:firstColumn="1" w:lastColumn="0" w:noHBand="0" w:noVBand="1"/>
      </w:tblPr>
      <w:tblGrid>
        <w:gridCol w:w="1131"/>
        <w:gridCol w:w="910"/>
      </w:tblGrid>
      <w:tr w:rsidR="007D5D68" w:rsidRPr="00AB3C1D" w:rsidTr="007D5D68">
        <w:trPr>
          <w:trHeight w:val="3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36.08%</w:t>
            </w:r>
          </w:p>
        </w:tc>
      </w:tr>
      <w:tr w:rsidR="007D5D68" w:rsidRPr="00AB3C1D" w:rsidTr="007D5D68">
        <w:trPr>
          <w:trHeight w:val="334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37.76%</w:t>
            </w:r>
          </w:p>
        </w:tc>
      </w:tr>
      <w:tr w:rsidR="007D5D68" w:rsidRPr="00AB3C1D" w:rsidTr="007D5D68">
        <w:trPr>
          <w:trHeight w:val="334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11.21%</w:t>
            </w:r>
          </w:p>
        </w:tc>
      </w:tr>
      <w:tr w:rsidR="007D5D68" w:rsidRPr="00AB3C1D" w:rsidTr="007D5D68">
        <w:trPr>
          <w:trHeight w:val="334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0.77%</w:t>
            </w:r>
          </w:p>
        </w:tc>
      </w:tr>
      <w:tr w:rsidR="007D5D68" w:rsidRPr="00AB3C1D" w:rsidTr="007D5D68">
        <w:trPr>
          <w:trHeight w:val="334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0.13%</w:t>
            </w:r>
          </w:p>
        </w:tc>
      </w:tr>
      <w:tr w:rsidR="007D5D68" w:rsidRPr="00AB3C1D" w:rsidTr="007D5D68">
        <w:trPr>
          <w:trHeight w:val="853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14.05%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36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0A9DD642" wp14:editId="643147F7">
            <wp:extent cx="3619500" cy="1600200"/>
            <wp:effectExtent l="0" t="0" r="19050" b="19050"/>
            <wp:docPr id="7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B3C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Q8. How do you rate the medical treatment you received from the Doctor?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page" w:tblpX="7018" w:tblpY="-11"/>
        <w:tblW w:w="2162" w:type="dxa"/>
        <w:tblLook w:val="04A0" w:firstRow="1" w:lastRow="0" w:firstColumn="1" w:lastColumn="0" w:noHBand="0" w:noVBand="1"/>
      </w:tblPr>
      <w:tblGrid>
        <w:gridCol w:w="1199"/>
        <w:gridCol w:w="963"/>
      </w:tblGrid>
      <w:tr w:rsidR="007D5D68" w:rsidRPr="00AB3C1D" w:rsidTr="007D5D68">
        <w:trPr>
          <w:trHeight w:val="3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60.40%</w:t>
            </w:r>
          </w:p>
        </w:tc>
      </w:tr>
      <w:tr w:rsidR="007D5D68" w:rsidRPr="00AB3C1D" w:rsidTr="007D5D68">
        <w:trPr>
          <w:trHeight w:val="333"/>
        </w:trPr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33.87%</w:t>
            </w:r>
          </w:p>
        </w:tc>
      </w:tr>
      <w:tr w:rsidR="007D5D68" w:rsidRPr="00AB3C1D" w:rsidTr="007D5D68">
        <w:trPr>
          <w:trHeight w:val="333"/>
        </w:trPr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3.99%</w:t>
            </w:r>
          </w:p>
        </w:tc>
      </w:tr>
      <w:tr w:rsidR="007D5D68" w:rsidRPr="00AB3C1D" w:rsidTr="007D5D68">
        <w:trPr>
          <w:trHeight w:val="333"/>
        </w:trPr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0.37%</w:t>
            </w:r>
          </w:p>
        </w:tc>
      </w:tr>
      <w:tr w:rsidR="007D5D68" w:rsidRPr="00AB3C1D" w:rsidTr="007D5D68">
        <w:trPr>
          <w:trHeight w:val="333"/>
        </w:trPr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0.00%</w:t>
            </w:r>
          </w:p>
        </w:tc>
      </w:tr>
      <w:tr w:rsidR="007D5D68" w:rsidRPr="00AB3C1D" w:rsidTr="007D5D68">
        <w:trPr>
          <w:trHeight w:val="852"/>
        </w:trPr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1.37%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0A9B1689" wp14:editId="7ABC2D67">
            <wp:extent cx="3619500" cy="1600200"/>
            <wp:effectExtent l="0" t="0" r="19050" b="19050"/>
            <wp:docPr id="8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Q9. How do you rate how quickly you can see a Nurse at the practice?</w:t>
      </w: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page" w:tblpX="7108" w:tblpY="15"/>
        <w:tblW w:w="1926" w:type="dxa"/>
        <w:tblLook w:val="04A0" w:firstRow="1" w:lastRow="0" w:firstColumn="1" w:lastColumn="0" w:noHBand="0" w:noVBand="1"/>
      </w:tblPr>
      <w:tblGrid>
        <w:gridCol w:w="1091"/>
        <w:gridCol w:w="835"/>
      </w:tblGrid>
      <w:tr w:rsidR="007D5D68" w:rsidRPr="00AB3C1D" w:rsidTr="007D5D68">
        <w:trPr>
          <w:trHeight w:val="35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46.76%</w:t>
            </w:r>
          </w:p>
        </w:tc>
      </w:tr>
      <w:tr w:rsidR="007D5D68" w:rsidRPr="00AB3C1D" w:rsidTr="007D5D68">
        <w:trPr>
          <w:trHeight w:val="359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39.07%</w:t>
            </w:r>
          </w:p>
        </w:tc>
      </w:tr>
      <w:tr w:rsidR="007D5D68" w:rsidRPr="00AB3C1D" w:rsidTr="007D5D68">
        <w:trPr>
          <w:trHeight w:val="359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8.79%</w:t>
            </w:r>
          </w:p>
        </w:tc>
      </w:tr>
      <w:tr w:rsidR="007D5D68" w:rsidRPr="00AB3C1D" w:rsidTr="007D5D68">
        <w:trPr>
          <w:trHeight w:val="359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0.73%</w:t>
            </w:r>
          </w:p>
        </w:tc>
      </w:tr>
      <w:tr w:rsidR="007D5D68" w:rsidRPr="00AB3C1D" w:rsidTr="007D5D68">
        <w:trPr>
          <w:trHeight w:val="359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0.24%</w:t>
            </w:r>
          </w:p>
        </w:tc>
      </w:tr>
      <w:tr w:rsidR="007D5D68" w:rsidRPr="00AB3C1D" w:rsidTr="007D5D68">
        <w:trPr>
          <w:trHeight w:val="913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4.40%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7368A271" wp14:editId="102CBC5E">
            <wp:extent cx="3619500" cy="1771650"/>
            <wp:effectExtent l="0" t="0" r="19050" b="19050"/>
            <wp:docPr id="9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Q10. How do you rate the medical treatment you received from the Nurse?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7108" w:tblpY="2"/>
        <w:tblW w:w="2027" w:type="dxa"/>
        <w:tblLayout w:type="fixed"/>
        <w:tblLook w:val="04A0" w:firstRow="1" w:lastRow="0" w:firstColumn="1" w:lastColumn="0" w:noHBand="0" w:noVBand="1"/>
      </w:tblPr>
      <w:tblGrid>
        <w:gridCol w:w="1143"/>
        <w:gridCol w:w="884"/>
      </w:tblGrid>
      <w:tr w:rsidR="007D5D68" w:rsidRPr="00AB3C1D" w:rsidTr="007D5D68">
        <w:trPr>
          <w:trHeight w:val="35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56.74%</w:t>
            </w:r>
          </w:p>
        </w:tc>
      </w:tr>
      <w:tr w:rsidR="007D5D68" w:rsidRPr="00AB3C1D" w:rsidTr="007D5D68">
        <w:trPr>
          <w:trHeight w:val="356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35.60%</w:t>
            </w:r>
          </w:p>
        </w:tc>
      </w:tr>
      <w:tr w:rsidR="007D5D68" w:rsidRPr="00AB3C1D" w:rsidTr="007D5D68">
        <w:trPr>
          <w:trHeight w:val="356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3.34%</w:t>
            </w:r>
          </w:p>
        </w:tc>
      </w:tr>
      <w:tr w:rsidR="007D5D68" w:rsidRPr="00AB3C1D" w:rsidTr="007D5D68">
        <w:trPr>
          <w:trHeight w:val="356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0.25%</w:t>
            </w:r>
          </w:p>
        </w:tc>
      </w:tr>
      <w:tr w:rsidR="007D5D68" w:rsidRPr="00AB3C1D" w:rsidTr="007D5D68">
        <w:trPr>
          <w:trHeight w:val="356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0.00%</w:t>
            </w:r>
          </w:p>
        </w:tc>
      </w:tr>
      <w:tr w:rsidR="007D5D68" w:rsidRPr="00AB3C1D" w:rsidTr="007D5D68">
        <w:trPr>
          <w:trHeight w:val="905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4.08%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6EBCD872" wp14:editId="5DC888AB">
            <wp:extent cx="3619500" cy="1704975"/>
            <wp:effectExtent l="0" t="0" r="19050" b="9525"/>
            <wp:docPr id="10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Q11. How do you rate being able to order a repeat prescription (on the telephone, in person, on-line, etc.)?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7063" w:tblpY="16"/>
        <w:tblW w:w="1910" w:type="dxa"/>
        <w:tblLook w:val="04A0" w:firstRow="1" w:lastRow="0" w:firstColumn="1" w:lastColumn="0" w:noHBand="0" w:noVBand="1"/>
      </w:tblPr>
      <w:tblGrid>
        <w:gridCol w:w="1082"/>
        <w:gridCol w:w="828"/>
      </w:tblGrid>
      <w:tr w:rsidR="007D5D68" w:rsidRPr="00AB3C1D" w:rsidTr="007D5D68">
        <w:trPr>
          <w:trHeight w:val="36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51.80%</w:t>
            </w:r>
          </w:p>
        </w:tc>
      </w:tr>
      <w:tr w:rsidR="007D5D68" w:rsidRPr="00AB3C1D" w:rsidTr="007D5D68">
        <w:trPr>
          <w:trHeight w:val="364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35.08%</w:t>
            </w:r>
          </w:p>
        </w:tc>
      </w:tr>
      <w:tr w:rsidR="007D5D68" w:rsidRPr="00AB3C1D" w:rsidTr="007D5D68">
        <w:trPr>
          <w:trHeight w:val="364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5.57%</w:t>
            </w:r>
          </w:p>
        </w:tc>
      </w:tr>
      <w:tr w:rsidR="007D5D68" w:rsidRPr="00AB3C1D" w:rsidTr="007D5D68">
        <w:trPr>
          <w:trHeight w:val="364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0.11%</w:t>
            </w:r>
          </w:p>
        </w:tc>
      </w:tr>
      <w:tr w:rsidR="007D5D68" w:rsidRPr="00AB3C1D" w:rsidTr="007D5D68">
        <w:trPr>
          <w:trHeight w:val="364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0%</w:t>
            </w:r>
          </w:p>
        </w:tc>
      </w:tr>
      <w:tr w:rsidR="007D5D68" w:rsidRPr="00AB3C1D" w:rsidTr="007D5D68">
        <w:trPr>
          <w:trHeight w:val="927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0A4D193F" wp14:editId="4ACE4B32">
            <wp:extent cx="3619500" cy="1781175"/>
            <wp:effectExtent l="0" t="0" r="19050" b="9525"/>
            <wp:docPr id="11" name="Char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BE598A" w:rsidRDefault="00BE598A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Q12. How do you rate the facilities at the practice?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page" w:tblpX="7063" w:tblpY="2"/>
        <w:tblW w:w="2002" w:type="dxa"/>
        <w:tblLook w:val="04A0" w:firstRow="1" w:lastRow="0" w:firstColumn="1" w:lastColumn="0" w:noHBand="0" w:noVBand="1"/>
      </w:tblPr>
      <w:tblGrid>
        <w:gridCol w:w="1134"/>
        <w:gridCol w:w="868"/>
      </w:tblGrid>
      <w:tr w:rsidR="007D5D68" w:rsidRPr="00AB3C1D" w:rsidTr="007D5D68">
        <w:trPr>
          <w:trHeight w:val="3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48.42%</w:t>
            </w:r>
          </w:p>
        </w:tc>
      </w:tr>
      <w:tr w:rsidR="007D5D68" w:rsidRPr="00AB3C1D" w:rsidTr="007D5D68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43.81%</w:t>
            </w:r>
          </w:p>
        </w:tc>
      </w:tr>
      <w:tr w:rsidR="007D5D68" w:rsidRPr="00AB3C1D" w:rsidTr="007D5D68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4.25%</w:t>
            </w:r>
          </w:p>
        </w:tc>
      </w:tr>
      <w:tr w:rsidR="007D5D68" w:rsidRPr="00AB3C1D" w:rsidTr="007D5D68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0.36%</w:t>
            </w:r>
          </w:p>
        </w:tc>
      </w:tr>
      <w:tr w:rsidR="007D5D68" w:rsidRPr="00AB3C1D" w:rsidTr="007D5D68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0.49%</w:t>
            </w:r>
          </w:p>
        </w:tc>
      </w:tr>
      <w:tr w:rsidR="007D5D68" w:rsidRPr="00AB3C1D" w:rsidTr="007D5D68">
        <w:trPr>
          <w:trHeight w:val="9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2.67%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0B042AA1" wp14:editId="39E416B7">
            <wp:extent cx="3619500" cy="1752600"/>
            <wp:effectExtent l="0" t="0" r="19050" b="19050"/>
            <wp:docPr id="12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Q13. How do you rate being able to book the appointments on our website?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7183" w:tblpY="-29"/>
        <w:tblW w:w="1910" w:type="dxa"/>
        <w:tblLook w:val="04A0" w:firstRow="1" w:lastRow="0" w:firstColumn="1" w:lastColumn="0" w:noHBand="0" w:noVBand="1"/>
      </w:tblPr>
      <w:tblGrid>
        <w:gridCol w:w="1082"/>
        <w:gridCol w:w="828"/>
      </w:tblGrid>
      <w:tr w:rsidR="007D5D68" w:rsidRPr="00AB3C1D" w:rsidTr="007D5D68">
        <w:trPr>
          <w:trHeight w:val="36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25.11%</w:t>
            </w:r>
          </w:p>
        </w:tc>
      </w:tr>
      <w:tr w:rsidR="007D5D68" w:rsidRPr="00AB3C1D" w:rsidTr="007D5D68">
        <w:trPr>
          <w:trHeight w:val="368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24%</w:t>
            </w:r>
          </w:p>
        </w:tc>
      </w:tr>
      <w:tr w:rsidR="007D5D68" w:rsidRPr="00AB3C1D" w:rsidTr="007D5D68">
        <w:trPr>
          <w:trHeight w:val="368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5.39%</w:t>
            </w:r>
          </w:p>
        </w:tc>
      </w:tr>
      <w:tr w:rsidR="007D5D68" w:rsidRPr="00AB3C1D" w:rsidTr="007D5D68">
        <w:trPr>
          <w:trHeight w:val="368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0.85%</w:t>
            </w:r>
          </w:p>
        </w:tc>
      </w:tr>
      <w:tr w:rsidR="007D5D68" w:rsidRPr="00AB3C1D" w:rsidTr="007D5D68">
        <w:trPr>
          <w:trHeight w:val="368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0.99%</w:t>
            </w:r>
          </w:p>
        </w:tc>
      </w:tr>
      <w:tr w:rsidR="007D5D68" w:rsidRPr="00AB3C1D" w:rsidTr="007D5D68">
        <w:trPr>
          <w:trHeight w:val="938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43.69%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010A3EB0" wp14:editId="011388EF">
            <wp:extent cx="3619500" cy="1790700"/>
            <wp:effectExtent l="0" t="0" r="19050" b="19050"/>
            <wp:docPr id="13" name="Char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Q14. How do you rate the CASAG practice newsletter?</w:t>
      </w:r>
    </w:p>
    <w:tbl>
      <w:tblPr>
        <w:tblpPr w:leftFromText="180" w:rightFromText="180" w:vertAnchor="text" w:horzAnchor="page" w:tblpX="6823" w:tblpY="496"/>
        <w:tblW w:w="1956" w:type="dxa"/>
        <w:tblLook w:val="04A0" w:firstRow="1" w:lastRow="0" w:firstColumn="1" w:lastColumn="0" w:noHBand="0" w:noVBand="1"/>
      </w:tblPr>
      <w:tblGrid>
        <w:gridCol w:w="1108"/>
        <w:gridCol w:w="848"/>
      </w:tblGrid>
      <w:tr w:rsidR="007D5D68" w:rsidRPr="00AB3C1D" w:rsidTr="007D5D68">
        <w:trPr>
          <w:trHeight w:val="36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19.86%</w:t>
            </w:r>
          </w:p>
        </w:tc>
      </w:tr>
      <w:tr w:rsidR="007D5D68" w:rsidRPr="00AB3C1D" w:rsidTr="007D5D68">
        <w:trPr>
          <w:trHeight w:val="365"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42.46%</w:t>
            </w:r>
          </w:p>
        </w:tc>
      </w:tr>
      <w:tr w:rsidR="007D5D68" w:rsidRPr="00AB3C1D" w:rsidTr="007D5D68">
        <w:trPr>
          <w:trHeight w:val="365"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6.58%</w:t>
            </w:r>
          </w:p>
        </w:tc>
      </w:tr>
      <w:tr w:rsidR="007D5D68" w:rsidRPr="00AB3C1D" w:rsidTr="007D5D68">
        <w:trPr>
          <w:trHeight w:val="365"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0.68%</w:t>
            </w:r>
          </w:p>
        </w:tc>
      </w:tr>
      <w:tr w:rsidR="007D5D68" w:rsidRPr="00AB3C1D" w:rsidTr="007D5D68">
        <w:trPr>
          <w:trHeight w:val="365"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0.14%</w:t>
            </w:r>
          </w:p>
        </w:tc>
      </w:tr>
      <w:tr w:rsidR="007D5D68" w:rsidRPr="00AB3C1D" w:rsidTr="007D5D68">
        <w:trPr>
          <w:trHeight w:val="928"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30.27%</w:t>
            </w:r>
          </w:p>
        </w:tc>
      </w:tr>
    </w:tbl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607693D9" wp14:editId="4012D0FC">
            <wp:extent cx="3619500" cy="1790700"/>
            <wp:effectExtent l="0" t="0" r="19050" b="19050"/>
            <wp:docPr id="14" name="Char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5D68" w:rsidRPr="00AB3C1D" w:rsidRDefault="007D5D68" w:rsidP="007D5D6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BE598A" w:rsidRPr="00AB3C1D" w:rsidRDefault="00BE598A" w:rsidP="007D5D6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7D5D68" w:rsidRPr="004E4D5C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E4D5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Q15. How do you rate the Out of Hours Service?</w:t>
      </w:r>
    </w:p>
    <w:p w:rsidR="007D5D68" w:rsidRPr="00AB3C1D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page" w:tblpX="7111" w:tblpY="23"/>
        <w:tblW w:w="2011" w:type="dxa"/>
        <w:tblLook w:val="04A0" w:firstRow="1" w:lastRow="0" w:firstColumn="1" w:lastColumn="0" w:noHBand="0" w:noVBand="1"/>
      </w:tblPr>
      <w:tblGrid>
        <w:gridCol w:w="1098"/>
        <w:gridCol w:w="913"/>
      </w:tblGrid>
      <w:tr w:rsidR="007D5D68" w:rsidRPr="00AB3C1D" w:rsidTr="007D5D68">
        <w:trPr>
          <w:trHeight w:val="37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lang w:eastAsia="en-GB"/>
              </w:rPr>
              <w:t>11.66</w:t>
            </w:r>
          </w:p>
        </w:tc>
      </w:tr>
      <w:tr w:rsidR="007D5D68" w:rsidRPr="00AB3C1D" w:rsidTr="007D5D68">
        <w:trPr>
          <w:trHeight w:val="3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lang w:eastAsia="en-GB"/>
              </w:rPr>
              <w:t>36.29</w:t>
            </w:r>
          </w:p>
        </w:tc>
      </w:tr>
      <w:tr w:rsidR="007D5D68" w:rsidRPr="00AB3C1D" w:rsidTr="007D5D68">
        <w:trPr>
          <w:trHeight w:val="3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lang w:eastAsia="en-GB"/>
              </w:rPr>
              <w:t>12.32</w:t>
            </w:r>
          </w:p>
        </w:tc>
      </w:tr>
      <w:tr w:rsidR="007D5D68" w:rsidRPr="00AB3C1D" w:rsidTr="007D5D68">
        <w:trPr>
          <w:trHeight w:val="3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lang w:eastAsia="en-GB"/>
              </w:rPr>
              <w:t>3.18</w:t>
            </w:r>
          </w:p>
        </w:tc>
      </w:tr>
      <w:tr w:rsidR="007D5D68" w:rsidRPr="00AB3C1D" w:rsidTr="007D5D68">
        <w:trPr>
          <w:trHeight w:val="3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lang w:eastAsia="en-GB"/>
              </w:rPr>
              <w:t>1.85</w:t>
            </w:r>
          </w:p>
        </w:tc>
      </w:tr>
      <w:tr w:rsidR="007D5D68" w:rsidRPr="00AB3C1D" w:rsidTr="007D5D68">
        <w:trPr>
          <w:trHeight w:val="9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D68" w:rsidRPr="00AB3C1D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C1D">
              <w:rPr>
                <w:rFonts w:ascii="Calibri" w:eastAsia="Times New Roman" w:hAnsi="Calibri" w:cs="Times New Roman"/>
                <w:color w:val="000000"/>
                <w:lang w:eastAsia="en-GB"/>
              </w:rPr>
              <w:t>34.7</w:t>
            </w:r>
          </w:p>
        </w:tc>
      </w:tr>
    </w:tbl>
    <w:p w:rsidR="007D5D68" w:rsidRPr="00AB3C1D" w:rsidRDefault="007D5D68" w:rsidP="007D5D68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36"/>
        </w:rPr>
      </w:pPr>
      <w:r w:rsidRPr="00AB3C1D">
        <w:rPr>
          <w:rFonts w:eastAsia="Times New Roman" w:cs="Times New Roman"/>
          <w:noProof/>
          <w:lang w:eastAsia="en-GB"/>
        </w:rPr>
        <w:drawing>
          <wp:inline distT="0" distB="0" distL="0" distR="0" wp14:anchorId="24D1F108" wp14:editId="25188957">
            <wp:extent cx="3619500" cy="1857375"/>
            <wp:effectExtent l="0" t="0" r="19050" b="9525"/>
            <wp:docPr id="15" name="Chart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D0D5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Q16. Would you recommend this practice to anybody?</w:t>
      </w:r>
    </w:p>
    <w:p w:rsidR="007D5D68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page" w:tblpX="7123" w:tblpY="23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7D5D68" w:rsidRPr="005D0D57" w:rsidTr="007D5D6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5D0D57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D0D5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5D0D57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D0D5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99.70%</w:t>
            </w:r>
          </w:p>
        </w:tc>
      </w:tr>
      <w:tr w:rsidR="007D5D68" w:rsidRPr="005D0D57" w:rsidTr="007D5D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5D0D57" w:rsidRDefault="007D5D68" w:rsidP="007D5D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D0D5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5D68" w:rsidRPr="005D0D57" w:rsidRDefault="007D5D68" w:rsidP="007D5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D0D5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0.29%</w:t>
            </w:r>
          </w:p>
        </w:tc>
      </w:tr>
    </w:tbl>
    <w:p w:rsidR="007D5D68" w:rsidRPr="005D0D57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518F87A" wp14:editId="1A0124A8">
            <wp:extent cx="3619500" cy="1809750"/>
            <wp:effectExtent l="0" t="0" r="19050" b="19050"/>
            <wp:docPr id="16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D5D68" w:rsidRPr="005D0D57" w:rsidRDefault="007D5D68" w:rsidP="007D5D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7D5D68" w:rsidRPr="0034425F" w:rsidRDefault="007D5D68" w:rsidP="007D5D68">
      <w:pPr>
        <w:jc w:val="both"/>
        <w:rPr>
          <w:rFonts w:ascii="Arial" w:hAnsi="Arial" w:cs="Arial"/>
          <w:b/>
          <w:sz w:val="24"/>
          <w:szCs w:val="24"/>
        </w:rPr>
      </w:pPr>
      <w:r w:rsidRPr="0034425F">
        <w:rPr>
          <w:rFonts w:ascii="Arial" w:hAnsi="Arial" w:cs="Arial"/>
          <w:b/>
          <w:sz w:val="24"/>
          <w:szCs w:val="24"/>
        </w:rPr>
        <w:t>As we expected the survey has also identified key areas we need to continue to work on to offer an even better service:</w:t>
      </w:r>
    </w:p>
    <w:p w:rsidR="007D5D68" w:rsidRPr="0034425F" w:rsidRDefault="007D5D68" w:rsidP="007D5D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>59.2% of patients feel that getting through on the telephone is ‘good‘ or ‘excellent‘– with 29.9% rating this as ‘fair’.</w:t>
      </w:r>
    </w:p>
    <w:p w:rsidR="007D5D68" w:rsidRPr="0034425F" w:rsidRDefault="007D5D68" w:rsidP="007D5D6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7D5D68" w:rsidRDefault="007D5D68" w:rsidP="007D5D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>81.3% of patients rate the opening hours as ‘good’ or excellent’ however as expected this was a popular topic of discussion in the comments</w:t>
      </w:r>
      <w:r>
        <w:rPr>
          <w:rFonts w:ascii="Arial" w:hAnsi="Arial" w:cs="Arial"/>
          <w:sz w:val="24"/>
          <w:szCs w:val="24"/>
        </w:rPr>
        <w:t xml:space="preserve"> box</w:t>
      </w:r>
      <w:r w:rsidRPr="0034425F">
        <w:rPr>
          <w:rFonts w:ascii="Arial" w:hAnsi="Arial" w:cs="Arial"/>
          <w:sz w:val="24"/>
          <w:szCs w:val="24"/>
        </w:rPr>
        <w:t>.</w:t>
      </w:r>
    </w:p>
    <w:p w:rsidR="000B0CF6" w:rsidRDefault="000B0CF6" w:rsidP="007D5D68">
      <w:pPr>
        <w:rPr>
          <w:rFonts w:ascii="Arial" w:hAnsi="Arial" w:cs="Arial"/>
          <w:b/>
          <w:sz w:val="24"/>
          <w:szCs w:val="24"/>
          <w:u w:val="single"/>
        </w:rPr>
      </w:pPr>
    </w:p>
    <w:p w:rsidR="00194A39" w:rsidRPr="0034425F" w:rsidRDefault="00194A39" w:rsidP="00194A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25F">
        <w:rPr>
          <w:rFonts w:ascii="Arial" w:hAnsi="Arial" w:cs="Arial"/>
          <w:b/>
          <w:sz w:val="24"/>
          <w:szCs w:val="24"/>
          <w:u w:val="single"/>
        </w:rPr>
        <w:t>Action plan:</w:t>
      </w:r>
    </w:p>
    <w:p w:rsidR="00AF375A" w:rsidRPr="00AF375A" w:rsidRDefault="00194A39" w:rsidP="00AF37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 xml:space="preserve">To enhance the ability to get through on the telephone at peak times back office staff </w:t>
      </w:r>
      <w:r w:rsidR="000C6EFE" w:rsidRPr="0034425F">
        <w:rPr>
          <w:rFonts w:ascii="Arial" w:hAnsi="Arial" w:cs="Arial"/>
          <w:sz w:val="24"/>
          <w:szCs w:val="24"/>
        </w:rPr>
        <w:t>will answer</w:t>
      </w:r>
      <w:r w:rsidRPr="0034425F">
        <w:rPr>
          <w:rFonts w:ascii="Arial" w:hAnsi="Arial" w:cs="Arial"/>
          <w:sz w:val="24"/>
          <w:szCs w:val="24"/>
        </w:rPr>
        <w:t xml:space="preserve"> the telephone from 8am. </w:t>
      </w:r>
      <w:r w:rsidR="00AF375A" w:rsidRPr="00AF375A">
        <w:rPr>
          <w:rFonts w:ascii="Arial" w:hAnsi="Arial" w:cs="Arial"/>
          <w:i/>
          <w:sz w:val="20"/>
          <w:szCs w:val="20"/>
        </w:rPr>
        <w:t>Times scale - Immediately</w:t>
      </w:r>
    </w:p>
    <w:p w:rsidR="000C6EFE" w:rsidRPr="001D6179" w:rsidRDefault="000C6EFE" w:rsidP="000C6EFE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0C6EFE" w:rsidRPr="00AF375A" w:rsidRDefault="000C6EFE" w:rsidP="00AF37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>T</w:t>
      </w:r>
      <w:r w:rsidR="00194A39" w:rsidRPr="0034425F">
        <w:rPr>
          <w:rFonts w:ascii="Arial" w:hAnsi="Arial" w:cs="Arial"/>
          <w:sz w:val="24"/>
          <w:szCs w:val="24"/>
        </w:rPr>
        <w:t>he time patients can call for results and repeat prescriptions</w:t>
      </w:r>
      <w:r w:rsidR="0031529B" w:rsidRPr="0034425F">
        <w:rPr>
          <w:rFonts w:ascii="Arial" w:hAnsi="Arial" w:cs="Arial"/>
          <w:sz w:val="24"/>
          <w:szCs w:val="24"/>
        </w:rPr>
        <w:t xml:space="preserve"> </w:t>
      </w:r>
      <w:r w:rsidRPr="0034425F">
        <w:rPr>
          <w:rFonts w:ascii="Arial" w:hAnsi="Arial" w:cs="Arial"/>
          <w:sz w:val="24"/>
          <w:szCs w:val="24"/>
        </w:rPr>
        <w:t xml:space="preserve">has altered </w:t>
      </w:r>
      <w:r w:rsidR="0031529B" w:rsidRPr="0034425F">
        <w:rPr>
          <w:rFonts w:ascii="Arial" w:hAnsi="Arial" w:cs="Arial"/>
          <w:sz w:val="24"/>
          <w:szCs w:val="24"/>
        </w:rPr>
        <w:t>f</w:t>
      </w:r>
      <w:r w:rsidR="006178BF">
        <w:rPr>
          <w:rFonts w:ascii="Arial" w:hAnsi="Arial" w:cs="Arial"/>
          <w:sz w:val="24"/>
          <w:szCs w:val="24"/>
        </w:rPr>
        <w:t>ro</w:t>
      </w:r>
      <w:r w:rsidR="00D278F7">
        <w:rPr>
          <w:rFonts w:ascii="Arial" w:hAnsi="Arial" w:cs="Arial"/>
          <w:sz w:val="24"/>
          <w:szCs w:val="24"/>
        </w:rPr>
        <w:t>m 11</w:t>
      </w:r>
      <w:r w:rsidR="006178BF">
        <w:rPr>
          <w:rFonts w:ascii="Arial" w:hAnsi="Arial" w:cs="Arial"/>
          <w:sz w:val="24"/>
          <w:szCs w:val="24"/>
        </w:rPr>
        <w:t xml:space="preserve">am to 10am </w:t>
      </w:r>
      <w:r w:rsidRPr="0034425F">
        <w:rPr>
          <w:rFonts w:ascii="Arial" w:hAnsi="Arial" w:cs="Arial"/>
          <w:sz w:val="24"/>
          <w:szCs w:val="24"/>
        </w:rPr>
        <w:t>enabling</w:t>
      </w:r>
      <w:r w:rsidR="0031529B" w:rsidRPr="0034425F">
        <w:rPr>
          <w:rFonts w:ascii="Arial" w:hAnsi="Arial" w:cs="Arial"/>
          <w:sz w:val="24"/>
          <w:szCs w:val="24"/>
        </w:rPr>
        <w:t xml:space="preserve"> patients </w:t>
      </w:r>
      <w:r w:rsidRPr="0034425F">
        <w:rPr>
          <w:rFonts w:ascii="Arial" w:hAnsi="Arial" w:cs="Arial"/>
          <w:sz w:val="24"/>
          <w:szCs w:val="24"/>
        </w:rPr>
        <w:t>to make</w:t>
      </w:r>
      <w:r w:rsidR="0031529B" w:rsidRPr="0034425F">
        <w:rPr>
          <w:rFonts w:ascii="Arial" w:hAnsi="Arial" w:cs="Arial"/>
          <w:sz w:val="24"/>
          <w:szCs w:val="24"/>
        </w:rPr>
        <w:t xml:space="preserve"> calls about these topics over a wider time frame.</w:t>
      </w:r>
      <w:r w:rsidR="00AF375A">
        <w:rPr>
          <w:rFonts w:ascii="Arial" w:hAnsi="Arial" w:cs="Arial"/>
          <w:sz w:val="24"/>
          <w:szCs w:val="24"/>
        </w:rPr>
        <w:t xml:space="preserve"> </w:t>
      </w:r>
      <w:r w:rsidR="00AF375A" w:rsidRPr="00AF375A">
        <w:rPr>
          <w:rFonts w:ascii="Arial" w:hAnsi="Arial" w:cs="Arial"/>
          <w:i/>
          <w:sz w:val="20"/>
          <w:szCs w:val="20"/>
        </w:rPr>
        <w:t>Times scale - Immediately</w:t>
      </w:r>
    </w:p>
    <w:p w:rsidR="000C6EFE" w:rsidRPr="001D6179" w:rsidRDefault="000C6EFE" w:rsidP="000C6EFE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0C6EFE" w:rsidRPr="0034425F" w:rsidRDefault="00D278F7" w:rsidP="000C6E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Reception </w:t>
      </w:r>
      <w:proofErr w:type="gramStart"/>
      <w:r w:rsidR="000C6EFE" w:rsidRPr="0034425F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are</w:t>
      </w:r>
      <w:proofErr w:type="gramEnd"/>
      <w:r w:rsidR="000C6EFE" w:rsidRPr="0034425F">
        <w:rPr>
          <w:rFonts w:ascii="Arial" w:hAnsi="Arial" w:cs="Arial"/>
          <w:sz w:val="24"/>
          <w:szCs w:val="24"/>
        </w:rPr>
        <w:t xml:space="preserve"> </w:t>
      </w:r>
      <w:r w:rsidR="0031529B" w:rsidRPr="0034425F">
        <w:rPr>
          <w:rFonts w:ascii="Arial" w:hAnsi="Arial" w:cs="Arial"/>
          <w:sz w:val="24"/>
          <w:szCs w:val="24"/>
        </w:rPr>
        <w:t>reminded that answering the phone takes priority and they must deal</w:t>
      </w:r>
      <w:r w:rsidR="000C6EFE" w:rsidRPr="0034425F">
        <w:rPr>
          <w:rFonts w:ascii="Arial" w:hAnsi="Arial" w:cs="Arial"/>
          <w:sz w:val="24"/>
          <w:szCs w:val="24"/>
        </w:rPr>
        <w:t xml:space="preserve"> with </w:t>
      </w:r>
      <w:r w:rsidR="0031529B" w:rsidRPr="0034425F">
        <w:rPr>
          <w:rFonts w:ascii="Arial" w:hAnsi="Arial" w:cs="Arial"/>
          <w:sz w:val="24"/>
          <w:szCs w:val="24"/>
        </w:rPr>
        <w:t>patient queries on the telephone or face to face as promptly as possible. This will be monitore</w:t>
      </w:r>
      <w:r w:rsidR="000C6EFE" w:rsidRPr="0034425F">
        <w:rPr>
          <w:rFonts w:ascii="Arial" w:hAnsi="Arial" w:cs="Arial"/>
          <w:sz w:val="24"/>
          <w:szCs w:val="24"/>
        </w:rPr>
        <w:t>d</w:t>
      </w:r>
      <w:r w:rsidR="0031529B" w:rsidRPr="0034425F">
        <w:rPr>
          <w:rFonts w:ascii="Arial" w:hAnsi="Arial" w:cs="Arial"/>
          <w:sz w:val="24"/>
          <w:szCs w:val="24"/>
        </w:rPr>
        <w:t>.</w:t>
      </w:r>
      <w:r w:rsidR="00AF375A">
        <w:rPr>
          <w:rFonts w:ascii="Arial" w:hAnsi="Arial" w:cs="Arial"/>
          <w:sz w:val="24"/>
          <w:szCs w:val="24"/>
        </w:rPr>
        <w:t xml:space="preserve"> 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Times scale </w:t>
      </w:r>
      <w:r w:rsidR="00AF375A">
        <w:rPr>
          <w:rFonts w:ascii="Arial" w:hAnsi="Arial" w:cs="Arial"/>
          <w:i/>
          <w:sz w:val="20"/>
          <w:szCs w:val="20"/>
        </w:rPr>
        <w:t>–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Immediately</w:t>
      </w:r>
      <w:r w:rsidR="00AF375A">
        <w:rPr>
          <w:rFonts w:ascii="Arial" w:hAnsi="Arial" w:cs="Arial"/>
          <w:i/>
          <w:sz w:val="20"/>
          <w:szCs w:val="20"/>
        </w:rPr>
        <w:t xml:space="preserve"> monitored by Office Manager</w:t>
      </w:r>
    </w:p>
    <w:p w:rsidR="000C6EFE" w:rsidRPr="001D6179" w:rsidRDefault="000C6EFE" w:rsidP="000C6EF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0C6EFE" w:rsidRPr="0034425F" w:rsidRDefault="000C6EFE" w:rsidP="000C6E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lastRenderedPageBreak/>
        <w:t>A shorter</w:t>
      </w:r>
      <w:r w:rsidR="0031529B" w:rsidRPr="0034425F">
        <w:rPr>
          <w:rFonts w:ascii="Arial" w:hAnsi="Arial" w:cs="Arial"/>
          <w:sz w:val="24"/>
          <w:szCs w:val="24"/>
        </w:rPr>
        <w:t xml:space="preserve"> telephone message at Castle Mead </w:t>
      </w:r>
      <w:r w:rsidRPr="0034425F">
        <w:rPr>
          <w:rFonts w:ascii="Arial" w:hAnsi="Arial" w:cs="Arial"/>
          <w:sz w:val="24"/>
          <w:szCs w:val="24"/>
        </w:rPr>
        <w:t xml:space="preserve">has </w:t>
      </w:r>
      <w:r w:rsidR="0031529B" w:rsidRPr="0034425F">
        <w:rPr>
          <w:rFonts w:ascii="Arial" w:hAnsi="Arial" w:cs="Arial"/>
          <w:sz w:val="24"/>
          <w:szCs w:val="24"/>
        </w:rPr>
        <w:t>already received grateful comments from patients!</w:t>
      </w:r>
      <w:r w:rsidR="00AF375A">
        <w:rPr>
          <w:rFonts w:ascii="Arial" w:hAnsi="Arial" w:cs="Arial"/>
          <w:sz w:val="24"/>
          <w:szCs w:val="24"/>
        </w:rPr>
        <w:t xml:space="preserve"> 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Times scale </w:t>
      </w:r>
      <w:r w:rsidR="00AF375A">
        <w:rPr>
          <w:rFonts w:ascii="Arial" w:hAnsi="Arial" w:cs="Arial"/>
          <w:i/>
          <w:sz w:val="20"/>
          <w:szCs w:val="20"/>
        </w:rPr>
        <w:t>–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Immediately</w:t>
      </w:r>
      <w:r w:rsidR="00AF375A">
        <w:rPr>
          <w:rFonts w:ascii="Arial" w:hAnsi="Arial" w:cs="Arial"/>
          <w:i/>
          <w:sz w:val="20"/>
          <w:szCs w:val="20"/>
        </w:rPr>
        <w:t xml:space="preserve"> Sam Blower</w:t>
      </w:r>
    </w:p>
    <w:p w:rsidR="000C6EFE" w:rsidRPr="001D6179" w:rsidRDefault="000C6EFE" w:rsidP="000C6EFE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0C6EFE" w:rsidRDefault="0031529B" w:rsidP="000C6E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 xml:space="preserve">We </w:t>
      </w:r>
      <w:r w:rsidR="000C6EFE" w:rsidRPr="0034425F">
        <w:rPr>
          <w:rFonts w:ascii="Arial" w:hAnsi="Arial" w:cs="Arial"/>
          <w:sz w:val="24"/>
          <w:szCs w:val="24"/>
        </w:rPr>
        <w:t>will</w:t>
      </w:r>
      <w:r w:rsidRPr="0034425F">
        <w:rPr>
          <w:rFonts w:ascii="Arial" w:hAnsi="Arial" w:cs="Arial"/>
          <w:sz w:val="24"/>
          <w:szCs w:val="24"/>
        </w:rPr>
        <w:t xml:space="preserve"> advertise the appointment policy at both surgeries to educate patients abou</w:t>
      </w:r>
      <w:r w:rsidR="006035B3" w:rsidRPr="0034425F">
        <w:rPr>
          <w:rFonts w:ascii="Arial" w:hAnsi="Arial" w:cs="Arial"/>
          <w:sz w:val="24"/>
          <w:szCs w:val="24"/>
        </w:rPr>
        <w:t xml:space="preserve">t the changes made </w:t>
      </w:r>
      <w:r w:rsidR="000C6EFE" w:rsidRPr="0034425F">
        <w:rPr>
          <w:rFonts w:ascii="Arial" w:hAnsi="Arial" w:cs="Arial"/>
          <w:sz w:val="24"/>
          <w:szCs w:val="24"/>
        </w:rPr>
        <w:t>from</w:t>
      </w:r>
      <w:r w:rsidR="006035B3" w:rsidRPr="0034425F">
        <w:rPr>
          <w:rFonts w:ascii="Arial" w:hAnsi="Arial" w:cs="Arial"/>
          <w:sz w:val="24"/>
          <w:szCs w:val="24"/>
        </w:rPr>
        <w:t xml:space="preserve"> April 2013</w:t>
      </w:r>
      <w:r w:rsidRPr="0034425F">
        <w:rPr>
          <w:rFonts w:ascii="Arial" w:hAnsi="Arial" w:cs="Arial"/>
          <w:sz w:val="24"/>
          <w:szCs w:val="24"/>
        </w:rPr>
        <w:t xml:space="preserve"> and the small on-going alterations to try and meet demand on a regular basis.</w:t>
      </w:r>
      <w:r w:rsidR="00AF375A">
        <w:rPr>
          <w:rFonts w:ascii="Arial" w:hAnsi="Arial" w:cs="Arial"/>
          <w:sz w:val="24"/>
          <w:szCs w:val="24"/>
        </w:rPr>
        <w:t xml:space="preserve"> 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Times scale </w:t>
      </w:r>
      <w:r w:rsidR="00AF375A">
        <w:rPr>
          <w:rFonts w:ascii="Arial" w:hAnsi="Arial" w:cs="Arial"/>
          <w:i/>
          <w:sz w:val="20"/>
          <w:szCs w:val="20"/>
        </w:rPr>
        <w:t>–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</w:t>
      </w:r>
      <w:r w:rsidR="00AF375A">
        <w:rPr>
          <w:rFonts w:ascii="Arial" w:hAnsi="Arial" w:cs="Arial"/>
          <w:i/>
          <w:sz w:val="20"/>
          <w:szCs w:val="20"/>
        </w:rPr>
        <w:t>by March 2014 by Alison Ellis</w:t>
      </w:r>
    </w:p>
    <w:p w:rsidR="000E42C2" w:rsidRPr="001D6179" w:rsidRDefault="000E42C2" w:rsidP="000E42C2">
      <w:pPr>
        <w:pStyle w:val="ListParagraph"/>
        <w:rPr>
          <w:rFonts w:ascii="Arial" w:hAnsi="Arial" w:cs="Arial"/>
          <w:sz w:val="20"/>
          <w:szCs w:val="20"/>
        </w:rPr>
      </w:pPr>
    </w:p>
    <w:p w:rsidR="000E42C2" w:rsidRPr="0034425F" w:rsidRDefault="000E42C2" w:rsidP="000C6E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aid access to appointments by the working population we will continue to offer early morning appointments from 8am at Castle Mead, and the late afternoon opening at stoke Golding on a Monday.</w:t>
      </w:r>
      <w:r w:rsidR="00AF375A">
        <w:rPr>
          <w:rFonts w:ascii="Arial" w:hAnsi="Arial" w:cs="Arial"/>
          <w:sz w:val="24"/>
          <w:szCs w:val="24"/>
        </w:rPr>
        <w:t xml:space="preserve"> 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Times scale </w:t>
      </w:r>
      <w:r w:rsidR="00AF375A">
        <w:rPr>
          <w:rFonts w:ascii="Arial" w:hAnsi="Arial" w:cs="Arial"/>
          <w:i/>
          <w:sz w:val="20"/>
          <w:szCs w:val="20"/>
        </w:rPr>
        <w:t>–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Immediately</w:t>
      </w:r>
      <w:r w:rsidR="00AF375A">
        <w:rPr>
          <w:rFonts w:ascii="Arial" w:hAnsi="Arial" w:cs="Arial"/>
          <w:i/>
          <w:sz w:val="20"/>
          <w:szCs w:val="20"/>
        </w:rPr>
        <w:t xml:space="preserve"> Appointment team</w:t>
      </w:r>
    </w:p>
    <w:p w:rsidR="000C6EFE" w:rsidRPr="001D6179" w:rsidRDefault="000C6EFE" w:rsidP="000C6EFE">
      <w:pPr>
        <w:pStyle w:val="ListParagraph"/>
        <w:rPr>
          <w:rFonts w:ascii="Arial" w:hAnsi="Arial" w:cs="Arial"/>
          <w:sz w:val="20"/>
          <w:szCs w:val="20"/>
        </w:rPr>
      </w:pPr>
    </w:p>
    <w:p w:rsidR="0034425F" w:rsidRPr="0034425F" w:rsidRDefault="0034425F" w:rsidP="003442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4425F">
        <w:rPr>
          <w:rFonts w:ascii="Arial" w:hAnsi="Arial" w:cs="Arial"/>
          <w:sz w:val="24"/>
          <w:szCs w:val="24"/>
        </w:rPr>
        <w:t xml:space="preserve">e aim to increase </w:t>
      </w:r>
      <w:r w:rsidR="000C6EFE" w:rsidRPr="0034425F">
        <w:rPr>
          <w:rFonts w:ascii="Arial" w:hAnsi="Arial" w:cs="Arial"/>
          <w:sz w:val="24"/>
          <w:szCs w:val="24"/>
        </w:rPr>
        <w:t>Minor illness nursing appointments</w:t>
      </w:r>
      <w:r w:rsidR="000E42C2">
        <w:rPr>
          <w:rFonts w:ascii="Arial" w:hAnsi="Arial" w:cs="Arial"/>
          <w:sz w:val="24"/>
          <w:szCs w:val="24"/>
        </w:rPr>
        <w:t xml:space="preserve"> when staffing allows</w:t>
      </w:r>
      <w:r w:rsidRPr="0034425F">
        <w:rPr>
          <w:rFonts w:ascii="Arial" w:hAnsi="Arial" w:cs="Arial"/>
          <w:sz w:val="24"/>
          <w:szCs w:val="24"/>
        </w:rPr>
        <w:t>.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Times scale </w:t>
      </w:r>
      <w:r w:rsidR="00AF375A">
        <w:rPr>
          <w:rFonts w:ascii="Arial" w:hAnsi="Arial" w:cs="Arial"/>
          <w:i/>
          <w:sz w:val="20"/>
          <w:szCs w:val="20"/>
        </w:rPr>
        <w:t>–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Immediately</w:t>
      </w:r>
      <w:r w:rsidR="00AF375A">
        <w:rPr>
          <w:rFonts w:ascii="Arial" w:hAnsi="Arial" w:cs="Arial"/>
          <w:i/>
          <w:sz w:val="20"/>
          <w:szCs w:val="20"/>
        </w:rPr>
        <w:t xml:space="preserve"> Nursing staff</w:t>
      </w:r>
    </w:p>
    <w:p w:rsidR="0034425F" w:rsidRPr="001D6179" w:rsidRDefault="0034425F" w:rsidP="0034425F">
      <w:pPr>
        <w:pStyle w:val="ListParagraph"/>
        <w:rPr>
          <w:rFonts w:ascii="Arial" w:hAnsi="Arial" w:cs="Arial"/>
          <w:sz w:val="20"/>
          <w:szCs w:val="20"/>
        </w:rPr>
      </w:pPr>
    </w:p>
    <w:p w:rsidR="0034425F" w:rsidRPr="0034425F" w:rsidRDefault="002223F0" w:rsidP="003442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>We will continue to encourage patients</w:t>
      </w:r>
      <w:r w:rsidR="006035B3" w:rsidRPr="0034425F">
        <w:rPr>
          <w:rFonts w:ascii="Arial" w:hAnsi="Arial" w:cs="Arial"/>
          <w:sz w:val="24"/>
          <w:szCs w:val="24"/>
        </w:rPr>
        <w:t xml:space="preserve"> to attend local phar</w:t>
      </w:r>
      <w:r w:rsidRPr="0034425F">
        <w:rPr>
          <w:rFonts w:ascii="Arial" w:hAnsi="Arial" w:cs="Arial"/>
          <w:sz w:val="24"/>
          <w:szCs w:val="24"/>
        </w:rPr>
        <w:t>m</w:t>
      </w:r>
      <w:r w:rsidR="006035B3" w:rsidRPr="0034425F">
        <w:rPr>
          <w:rFonts w:ascii="Arial" w:hAnsi="Arial" w:cs="Arial"/>
          <w:sz w:val="24"/>
          <w:szCs w:val="24"/>
        </w:rPr>
        <w:t>a</w:t>
      </w:r>
      <w:r w:rsidRPr="0034425F">
        <w:rPr>
          <w:rFonts w:ascii="Arial" w:hAnsi="Arial" w:cs="Arial"/>
          <w:sz w:val="24"/>
          <w:szCs w:val="24"/>
        </w:rPr>
        <w:t>ci</w:t>
      </w:r>
      <w:r w:rsidR="006035B3" w:rsidRPr="0034425F">
        <w:rPr>
          <w:rFonts w:ascii="Arial" w:hAnsi="Arial" w:cs="Arial"/>
          <w:sz w:val="24"/>
          <w:szCs w:val="24"/>
        </w:rPr>
        <w:t>es for advice about simple self-</w:t>
      </w:r>
      <w:r w:rsidRPr="0034425F">
        <w:rPr>
          <w:rFonts w:ascii="Arial" w:hAnsi="Arial" w:cs="Arial"/>
          <w:sz w:val="24"/>
          <w:szCs w:val="24"/>
        </w:rPr>
        <w:t>limiting illnesses to hopefully improve access to doctor appointments for more serious medical conditions.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Times scale </w:t>
      </w:r>
      <w:r w:rsidR="00AF375A">
        <w:rPr>
          <w:rFonts w:ascii="Arial" w:hAnsi="Arial" w:cs="Arial"/>
          <w:i/>
          <w:sz w:val="20"/>
          <w:szCs w:val="20"/>
        </w:rPr>
        <w:t>–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Immediately</w:t>
      </w:r>
      <w:r w:rsidR="00AF375A">
        <w:rPr>
          <w:rFonts w:ascii="Arial" w:hAnsi="Arial" w:cs="Arial"/>
          <w:i/>
          <w:sz w:val="20"/>
          <w:szCs w:val="20"/>
        </w:rPr>
        <w:t xml:space="preserve"> All clinicians and staff</w:t>
      </w:r>
    </w:p>
    <w:p w:rsidR="0034425F" w:rsidRPr="001D6179" w:rsidRDefault="0034425F" w:rsidP="0034425F">
      <w:pPr>
        <w:pStyle w:val="ListParagraph"/>
        <w:rPr>
          <w:rFonts w:ascii="Arial" w:hAnsi="Arial" w:cs="Arial"/>
          <w:sz w:val="20"/>
          <w:szCs w:val="20"/>
        </w:rPr>
      </w:pPr>
    </w:p>
    <w:p w:rsidR="0034425F" w:rsidRPr="0034425F" w:rsidRDefault="0034425F" w:rsidP="003442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 xml:space="preserve">At every patient contact we aim to </w:t>
      </w:r>
      <w:r w:rsidR="002223F0" w:rsidRPr="0034425F">
        <w:rPr>
          <w:rFonts w:ascii="Arial" w:hAnsi="Arial" w:cs="Arial"/>
          <w:sz w:val="24"/>
          <w:szCs w:val="24"/>
        </w:rPr>
        <w:t>ask for their mobile telephone number</w:t>
      </w:r>
      <w:r w:rsidR="006178BF">
        <w:rPr>
          <w:rFonts w:ascii="Arial" w:hAnsi="Arial" w:cs="Arial"/>
          <w:sz w:val="24"/>
          <w:szCs w:val="24"/>
        </w:rPr>
        <w:t>. We will</w:t>
      </w:r>
      <w:r w:rsidR="002223F0" w:rsidRPr="0034425F">
        <w:rPr>
          <w:rFonts w:ascii="Arial" w:hAnsi="Arial" w:cs="Arial"/>
          <w:sz w:val="24"/>
          <w:szCs w:val="24"/>
        </w:rPr>
        <w:t xml:space="preserve"> use</w:t>
      </w:r>
      <w:r w:rsidRPr="0034425F">
        <w:rPr>
          <w:rFonts w:ascii="Arial" w:hAnsi="Arial" w:cs="Arial"/>
          <w:sz w:val="24"/>
          <w:szCs w:val="24"/>
        </w:rPr>
        <w:t xml:space="preserve"> </w:t>
      </w:r>
      <w:r w:rsidR="006178BF">
        <w:rPr>
          <w:rFonts w:ascii="Arial" w:hAnsi="Arial" w:cs="Arial"/>
          <w:sz w:val="24"/>
          <w:szCs w:val="24"/>
        </w:rPr>
        <w:t>them</w:t>
      </w:r>
      <w:r w:rsidRPr="0034425F">
        <w:rPr>
          <w:rFonts w:ascii="Arial" w:hAnsi="Arial" w:cs="Arial"/>
          <w:sz w:val="24"/>
          <w:szCs w:val="24"/>
        </w:rPr>
        <w:t xml:space="preserve"> to text message the details of their appointments </w:t>
      </w:r>
      <w:r w:rsidR="006178BF">
        <w:rPr>
          <w:rFonts w:ascii="Arial" w:hAnsi="Arial" w:cs="Arial"/>
          <w:sz w:val="24"/>
          <w:szCs w:val="24"/>
        </w:rPr>
        <w:t>and</w:t>
      </w:r>
      <w:r w:rsidRPr="0034425F">
        <w:rPr>
          <w:rFonts w:ascii="Arial" w:hAnsi="Arial" w:cs="Arial"/>
          <w:sz w:val="24"/>
          <w:szCs w:val="24"/>
        </w:rPr>
        <w:t xml:space="preserve"> try </w:t>
      </w:r>
      <w:r w:rsidR="006178BF">
        <w:rPr>
          <w:rFonts w:ascii="Arial" w:hAnsi="Arial" w:cs="Arial"/>
          <w:sz w:val="24"/>
          <w:szCs w:val="24"/>
        </w:rPr>
        <w:t>to</w:t>
      </w:r>
      <w:r w:rsidRPr="0034425F">
        <w:rPr>
          <w:rFonts w:ascii="Arial" w:hAnsi="Arial" w:cs="Arial"/>
          <w:sz w:val="24"/>
          <w:szCs w:val="24"/>
        </w:rPr>
        <w:t xml:space="preserve"> reduce the</w:t>
      </w:r>
      <w:r w:rsidR="00D278F7">
        <w:rPr>
          <w:rFonts w:ascii="Arial" w:hAnsi="Arial" w:cs="Arial"/>
          <w:sz w:val="24"/>
          <w:szCs w:val="24"/>
        </w:rPr>
        <w:t xml:space="preserve"> </w:t>
      </w:r>
      <w:r w:rsidRPr="0034425F">
        <w:rPr>
          <w:rFonts w:ascii="Arial" w:hAnsi="Arial" w:cs="Arial"/>
          <w:sz w:val="24"/>
          <w:szCs w:val="24"/>
        </w:rPr>
        <w:t>‘</w:t>
      </w:r>
      <w:r w:rsidR="002223F0" w:rsidRPr="0034425F">
        <w:rPr>
          <w:rFonts w:ascii="Arial" w:hAnsi="Arial" w:cs="Arial"/>
          <w:sz w:val="24"/>
          <w:szCs w:val="24"/>
        </w:rPr>
        <w:t>fail to attend</w:t>
      </w:r>
      <w:r w:rsidRPr="0034425F">
        <w:rPr>
          <w:rFonts w:ascii="Arial" w:hAnsi="Arial" w:cs="Arial"/>
          <w:sz w:val="24"/>
          <w:szCs w:val="24"/>
        </w:rPr>
        <w:t xml:space="preserve">’ </w:t>
      </w:r>
      <w:r w:rsidR="002223F0" w:rsidRPr="0034425F">
        <w:rPr>
          <w:rFonts w:ascii="Arial" w:hAnsi="Arial" w:cs="Arial"/>
          <w:sz w:val="24"/>
          <w:szCs w:val="24"/>
        </w:rPr>
        <w:t>appointments</w:t>
      </w:r>
      <w:r w:rsidRPr="0034425F">
        <w:rPr>
          <w:rFonts w:ascii="Arial" w:hAnsi="Arial" w:cs="Arial"/>
          <w:sz w:val="24"/>
          <w:szCs w:val="24"/>
        </w:rPr>
        <w:t xml:space="preserve"> </w:t>
      </w:r>
      <w:r w:rsidR="006178BF">
        <w:rPr>
          <w:rFonts w:ascii="Arial" w:hAnsi="Arial" w:cs="Arial"/>
          <w:sz w:val="24"/>
          <w:szCs w:val="24"/>
        </w:rPr>
        <w:t>which</w:t>
      </w:r>
      <w:r w:rsidR="002223F0" w:rsidRPr="0034425F">
        <w:rPr>
          <w:rFonts w:ascii="Arial" w:hAnsi="Arial" w:cs="Arial"/>
          <w:sz w:val="24"/>
          <w:szCs w:val="24"/>
        </w:rPr>
        <w:t xml:space="preserve"> would significantly increase the </w:t>
      </w:r>
      <w:r w:rsidRPr="0034425F">
        <w:rPr>
          <w:rFonts w:ascii="Arial" w:hAnsi="Arial" w:cs="Arial"/>
          <w:sz w:val="24"/>
          <w:szCs w:val="24"/>
        </w:rPr>
        <w:t>capacity</w:t>
      </w:r>
      <w:r w:rsidR="002223F0" w:rsidRPr="0034425F">
        <w:rPr>
          <w:rFonts w:ascii="Arial" w:hAnsi="Arial" w:cs="Arial"/>
          <w:sz w:val="24"/>
          <w:szCs w:val="24"/>
        </w:rPr>
        <w:t xml:space="preserve"> of appointments </w:t>
      </w:r>
      <w:r w:rsidRPr="0034425F">
        <w:rPr>
          <w:rFonts w:ascii="Arial" w:hAnsi="Arial" w:cs="Arial"/>
          <w:sz w:val="24"/>
          <w:szCs w:val="24"/>
        </w:rPr>
        <w:t xml:space="preserve">available. 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Times scale </w:t>
      </w:r>
      <w:r w:rsidR="00AF375A">
        <w:rPr>
          <w:rFonts w:ascii="Arial" w:hAnsi="Arial" w:cs="Arial"/>
          <w:i/>
          <w:sz w:val="20"/>
          <w:szCs w:val="20"/>
        </w:rPr>
        <w:t>–</w:t>
      </w:r>
      <w:r w:rsidR="00AF375A" w:rsidRPr="00AF375A">
        <w:rPr>
          <w:rFonts w:ascii="Arial" w:hAnsi="Arial" w:cs="Arial"/>
          <w:i/>
          <w:sz w:val="20"/>
          <w:szCs w:val="20"/>
        </w:rPr>
        <w:t xml:space="preserve"> Immediately</w:t>
      </w:r>
      <w:r w:rsidR="00AF375A">
        <w:rPr>
          <w:rFonts w:ascii="Arial" w:hAnsi="Arial" w:cs="Arial"/>
          <w:i/>
          <w:sz w:val="20"/>
          <w:szCs w:val="20"/>
        </w:rPr>
        <w:t xml:space="preserve"> All staff</w:t>
      </w:r>
    </w:p>
    <w:p w:rsidR="0034425F" w:rsidRPr="001D6179" w:rsidRDefault="0034425F" w:rsidP="0034425F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2223F0" w:rsidRPr="0034425F" w:rsidRDefault="002223F0" w:rsidP="0034425F">
      <w:pPr>
        <w:pStyle w:val="ListParagraph"/>
        <w:ind w:left="360"/>
        <w:jc w:val="both"/>
        <w:rPr>
          <w:rFonts w:ascii="Arial" w:hAnsi="Arial" w:cs="Arial"/>
          <w:i/>
          <w:sz w:val="24"/>
          <w:szCs w:val="24"/>
        </w:rPr>
      </w:pPr>
      <w:r w:rsidRPr="0034425F">
        <w:rPr>
          <w:rFonts w:ascii="Arial" w:hAnsi="Arial" w:cs="Arial"/>
          <w:i/>
          <w:sz w:val="24"/>
          <w:szCs w:val="24"/>
        </w:rPr>
        <w:t xml:space="preserve"> Numerous patient comments about this topic were made </w:t>
      </w:r>
      <w:r w:rsidR="006035B3" w:rsidRPr="0034425F">
        <w:rPr>
          <w:rFonts w:ascii="Arial" w:hAnsi="Arial" w:cs="Arial"/>
          <w:i/>
          <w:sz w:val="24"/>
          <w:szCs w:val="24"/>
        </w:rPr>
        <w:t>saying</w:t>
      </w:r>
      <w:r w:rsidRPr="0034425F">
        <w:rPr>
          <w:rFonts w:ascii="Arial" w:hAnsi="Arial" w:cs="Arial"/>
          <w:i/>
          <w:sz w:val="24"/>
          <w:szCs w:val="24"/>
        </w:rPr>
        <w:t xml:space="preserve"> it is a shame that GP’s cannot charge for missed appointments like dentists and opticians can.</w:t>
      </w:r>
    </w:p>
    <w:p w:rsidR="0034425F" w:rsidRPr="001D6179" w:rsidRDefault="0034425F" w:rsidP="0034425F">
      <w:pPr>
        <w:pStyle w:val="ListParagraph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F375A" w:rsidRPr="00AF375A" w:rsidRDefault="0034425F" w:rsidP="00AF37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>Advertise in</w:t>
      </w:r>
      <w:r w:rsidR="0031529B" w:rsidRPr="0034425F">
        <w:rPr>
          <w:rFonts w:ascii="Arial" w:hAnsi="Arial" w:cs="Arial"/>
          <w:sz w:val="24"/>
          <w:szCs w:val="24"/>
        </w:rPr>
        <w:t xml:space="preserve"> the CASAG newsletter</w:t>
      </w:r>
      <w:r w:rsidRPr="0034425F">
        <w:rPr>
          <w:rFonts w:ascii="Arial" w:hAnsi="Arial" w:cs="Arial"/>
          <w:sz w:val="24"/>
          <w:szCs w:val="24"/>
        </w:rPr>
        <w:t xml:space="preserve"> a description of</w:t>
      </w:r>
      <w:r w:rsidR="0031529B" w:rsidRPr="0034425F">
        <w:rPr>
          <w:rFonts w:ascii="Arial" w:hAnsi="Arial" w:cs="Arial"/>
          <w:sz w:val="24"/>
          <w:szCs w:val="24"/>
        </w:rPr>
        <w:t xml:space="preserve"> the reality </w:t>
      </w:r>
      <w:r w:rsidRPr="0034425F">
        <w:rPr>
          <w:rFonts w:ascii="Arial" w:hAnsi="Arial" w:cs="Arial"/>
          <w:sz w:val="24"/>
          <w:szCs w:val="24"/>
        </w:rPr>
        <w:t>and</w:t>
      </w:r>
      <w:r w:rsidR="0031529B" w:rsidRPr="0034425F">
        <w:rPr>
          <w:rFonts w:ascii="Arial" w:hAnsi="Arial" w:cs="Arial"/>
          <w:sz w:val="24"/>
          <w:szCs w:val="24"/>
        </w:rPr>
        <w:t xml:space="preserve"> problems faced by all areas of the NHS at this t</w:t>
      </w:r>
      <w:r w:rsidR="006178BF">
        <w:rPr>
          <w:rFonts w:ascii="Arial" w:hAnsi="Arial" w:cs="Arial"/>
          <w:sz w:val="24"/>
          <w:szCs w:val="24"/>
        </w:rPr>
        <w:t xml:space="preserve">ime. This will hopefully </w:t>
      </w:r>
      <w:r w:rsidR="0031529B" w:rsidRPr="0034425F">
        <w:rPr>
          <w:rFonts w:ascii="Arial" w:hAnsi="Arial" w:cs="Arial"/>
          <w:sz w:val="24"/>
          <w:szCs w:val="24"/>
        </w:rPr>
        <w:t xml:space="preserve">explain the difficulties matching patient demand with available appointments. </w:t>
      </w:r>
      <w:r w:rsidR="00AF375A">
        <w:rPr>
          <w:rFonts w:ascii="Arial" w:hAnsi="Arial" w:cs="Arial"/>
          <w:sz w:val="24"/>
          <w:szCs w:val="24"/>
        </w:rPr>
        <w:t xml:space="preserve"> </w:t>
      </w:r>
      <w:r w:rsidR="00AF375A">
        <w:rPr>
          <w:rFonts w:ascii="Arial" w:hAnsi="Arial" w:cs="Arial"/>
          <w:i/>
          <w:sz w:val="20"/>
          <w:szCs w:val="20"/>
        </w:rPr>
        <w:t>Times scale – July 2014 – CASAG</w:t>
      </w:r>
      <w:bookmarkStart w:id="0" w:name="_GoBack"/>
      <w:bookmarkEnd w:id="0"/>
    </w:p>
    <w:p w:rsidR="0034425F" w:rsidRPr="001D6179" w:rsidRDefault="0034425F" w:rsidP="0034425F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31529B" w:rsidRPr="0034425F" w:rsidRDefault="0034425F" w:rsidP="0034425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34425F">
        <w:rPr>
          <w:rFonts w:ascii="Arial" w:hAnsi="Arial" w:cs="Arial"/>
          <w:sz w:val="24"/>
          <w:szCs w:val="24"/>
        </w:rPr>
        <w:t>W</w:t>
      </w:r>
      <w:r w:rsidR="0031529B" w:rsidRPr="0034425F">
        <w:rPr>
          <w:rFonts w:ascii="Arial" w:hAnsi="Arial" w:cs="Arial"/>
          <w:sz w:val="24"/>
          <w:szCs w:val="24"/>
        </w:rPr>
        <w:t>ithout significant improved funding from The Government</w:t>
      </w:r>
      <w:r w:rsidR="006035B3" w:rsidRPr="0034425F">
        <w:rPr>
          <w:rFonts w:ascii="Arial" w:hAnsi="Arial" w:cs="Arial"/>
          <w:sz w:val="24"/>
          <w:szCs w:val="24"/>
        </w:rPr>
        <w:t>,</w:t>
      </w:r>
      <w:r w:rsidR="0031529B" w:rsidRPr="0034425F">
        <w:rPr>
          <w:rFonts w:ascii="Arial" w:hAnsi="Arial" w:cs="Arial"/>
          <w:sz w:val="24"/>
          <w:szCs w:val="24"/>
        </w:rPr>
        <w:t xml:space="preserve"> General Practices are unable to employ more doctors therefore the number of appointments offered will not increase. The full time partners are already working upwards of 48-50 hours each week and whilst evening and weekend appointments are desired they cannot safely be provided in addition to their current working hours</w:t>
      </w:r>
      <w:r w:rsidR="000E42C2">
        <w:rPr>
          <w:rFonts w:ascii="Arial" w:hAnsi="Arial" w:cs="Arial"/>
          <w:sz w:val="24"/>
          <w:szCs w:val="24"/>
        </w:rPr>
        <w:t xml:space="preserve"> whilst me</w:t>
      </w:r>
      <w:r w:rsidR="00F80739">
        <w:rPr>
          <w:rFonts w:ascii="Arial" w:hAnsi="Arial" w:cs="Arial"/>
          <w:sz w:val="24"/>
          <w:szCs w:val="24"/>
        </w:rPr>
        <w:t>e</w:t>
      </w:r>
      <w:r w:rsidR="000E42C2">
        <w:rPr>
          <w:rFonts w:ascii="Arial" w:hAnsi="Arial" w:cs="Arial"/>
          <w:sz w:val="24"/>
          <w:szCs w:val="24"/>
        </w:rPr>
        <w:t>ting the expectation for continuity of care</w:t>
      </w:r>
      <w:r w:rsidR="0031529B" w:rsidRPr="0034425F">
        <w:rPr>
          <w:rFonts w:ascii="Arial" w:hAnsi="Arial" w:cs="Arial"/>
          <w:sz w:val="24"/>
          <w:szCs w:val="24"/>
        </w:rPr>
        <w:t>.</w:t>
      </w:r>
    </w:p>
    <w:p w:rsidR="006035B3" w:rsidRDefault="0034425F" w:rsidP="00194A3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4425F">
        <w:rPr>
          <w:rFonts w:ascii="Arial" w:hAnsi="Arial" w:cs="Arial"/>
          <w:b/>
          <w:sz w:val="24"/>
          <w:szCs w:val="24"/>
          <w:u w:val="single"/>
        </w:rPr>
        <w:t>T</w:t>
      </w:r>
      <w:r w:rsidR="006035B3" w:rsidRPr="0034425F">
        <w:rPr>
          <w:rFonts w:ascii="Arial" w:hAnsi="Arial" w:cs="Arial"/>
          <w:b/>
          <w:sz w:val="24"/>
          <w:szCs w:val="24"/>
          <w:u w:val="single"/>
        </w:rPr>
        <w:t>hank you for completing the survey – we aim to continue providing our patients with exceptionally high quality individualised patient care.</w:t>
      </w:r>
    </w:p>
    <w:p w:rsidR="00D12BF8" w:rsidRDefault="00625CF0" w:rsidP="00194A39">
      <w:pPr>
        <w:jc w:val="both"/>
        <w:rPr>
          <w:rFonts w:ascii="Arial" w:hAnsi="Arial" w:cs="Arial"/>
          <w:sz w:val="24"/>
          <w:szCs w:val="24"/>
        </w:rPr>
      </w:pPr>
      <w:r w:rsidRPr="00625CF0">
        <w:rPr>
          <w:rFonts w:ascii="Arial" w:hAnsi="Arial" w:cs="Arial"/>
          <w:sz w:val="24"/>
          <w:szCs w:val="24"/>
        </w:rPr>
        <w:t xml:space="preserve">You can </w:t>
      </w:r>
      <w:r>
        <w:rPr>
          <w:rFonts w:ascii="Arial" w:hAnsi="Arial" w:cs="Arial"/>
          <w:sz w:val="24"/>
          <w:szCs w:val="24"/>
        </w:rPr>
        <w:t>access the surgeries</w:t>
      </w:r>
      <w:r w:rsidRPr="00625CF0">
        <w:rPr>
          <w:rFonts w:ascii="Arial" w:hAnsi="Arial" w:cs="Arial"/>
          <w:sz w:val="24"/>
          <w:szCs w:val="24"/>
        </w:rPr>
        <w:t xml:space="preserve"> </w:t>
      </w:r>
      <w:r w:rsidR="007318F6">
        <w:rPr>
          <w:rFonts w:ascii="Arial" w:hAnsi="Arial" w:cs="Arial"/>
          <w:sz w:val="24"/>
          <w:szCs w:val="24"/>
        </w:rPr>
        <w:t xml:space="preserve">services </w:t>
      </w:r>
      <w:r w:rsidRPr="00625CF0">
        <w:rPr>
          <w:rFonts w:ascii="Arial" w:hAnsi="Arial" w:cs="Arial"/>
          <w:sz w:val="24"/>
          <w:szCs w:val="24"/>
        </w:rPr>
        <w:t>via telephone</w:t>
      </w:r>
      <w:r w:rsidR="007318F6">
        <w:rPr>
          <w:rFonts w:ascii="Arial" w:hAnsi="Arial" w:cs="Arial"/>
          <w:sz w:val="24"/>
          <w:szCs w:val="24"/>
        </w:rPr>
        <w:t>, fax and</w:t>
      </w:r>
      <w:r>
        <w:rPr>
          <w:rFonts w:ascii="Arial" w:hAnsi="Arial" w:cs="Arial"/>
          <w:sz w:val="24"/>
          <w:szCs w:val="24"/>
        </w:rPr>
        <w:t xml:space="preserve"> face to face during normal hours or via </w:t>
      </w:r>
      <w:r w:rsidR="007318F6">
        <w:rPr>
          <w:rFonts w:ascii="Arial" w:hAnsi="Arial" w:cs="Arial"/>
          <w:sz w:val="24"/>
          <w:szCs w:val="24"/>
        </w:rPr>
        <w:t xml:space="preserve">our website </w:t>
      </w:r>
      <w:r>
        <w:rPr>
          <w:rFonts w:ascii="Arial" w:hAnsi="Arial" w:cs="Arial"/>
          <w:sz w:val="24"/>
          <w:szCs w:val="24"/>
        </w:rPr>
        <w:t>online services 24hrs per day allowing you to book appointments, order prescriptions and amend contact details as well as post comments and suggestions</w:t>
      </w:r>
      <w:r w:rsidR="007318F6">
        <w:rPr>
          <w:rFonts w:ascii="Arial" w:hAnsi="Arial" w:cs="Arial"/>
          <w:sz w:val="24"/>
          <w:szCs w:val="24"/>
        </w:rPr>
        <w:t>.</w:t>
      </w:r>
    </w:p>
    <w:p w:rsidR="00625CF0" w:rsidRDefault="00625CF0" w:rsidP="00194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 www.</w:t>
      </w:r>
      <w:r w:rsidR="007318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astlemeadmedicalcentre.co.uk</w:t>
      </w:r>
    </w:p>
    <w:p w:rsidR="007318F6" w:rsidRDefault="00625CF0" w:rsidP="00194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01455 637659 </w:t>
      </w:r>
      <w:r w:rsidR="007318F6">
        <w:rPr>
          <w:rFonts w:ascii="Arial" w:hAnsi="Arial" w:cs="Arial"/>
          <w:sz w:val="24"/>
          <w:szCs w:val="24"/>
        </w:rPr>
        <w:t xml:space="preserve">and Fax: 01455 238754 </w:t>
      </w:r>
      <w:r>
        <w:rPr>
          <w:rFonts w:ascii="Arial" w:hAnsi="Arial" w:cs="Arial"/>
          <w:sz w:val="24"/>
          <w:szCs w:val="24"/>
        </w:rPr>
        <w:t xml:space="preserve">for patients registered at Hinckley </w:t>
      </w:r>
    </w:p>
    <w:p w:rsidR="00625CF0" w:rsidRPr="00625CF0" w:rsidRDefault="007318F6" w:rsidP="00194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  <w:r w:rsidR="00625CF0">
        <w:rPr>
          <w:rFonts w:ascii="Arial" w:hAnsi="Arial" w:cs="Arial"/>
          <w:sz w:val="24"/>
          <w:szCs w:val="24"/>
        </w:rPr>
        <w:t xml:space="preserve">01455 212526 </w:t>
      </w:r>
      <w:r>
        <w:rPr>
          <w:rFonts w:ascii="Arial" w:hAnsi="Arial" w:cs="Arial"/>
          <w:sz w:val="24"/>
          <w:szCs w:val="24"/>
        </w:rPr>
        <w:t xml:space="preserve">and Fax: 01455 </w:t>
      </w:r>
      <w:r w:rsidRPr="007318F6">
        <w:rPr>
          <w:rFonts w:ascii="Arial" w:hAnsi="Arial" w:cs="Arial"/>
          <w:bCs/>
          <w:sz w:val="24"/>
          <w:szCs w:val="24"/>
        </w:rPr>
        <w:t>212473</w:t>
      </w:r>
      <w:r>
        <w:rPr>
          <w:rFonts w:ascii="Arial" w:hAnsi="Arial" w:cs="Arial"/>
          <w:sz w:val="24"/>
          <w:szCs w:val="24"/>
        </w:rPr>
        <w:t xml:space="preserve"> </w:t>
      </w:r>
      <w:r w:rsidR="00625CF0">
        <w:rPr>
          <w:rFonts w:ascii="Arial" w:hAnsi="Arial" w:cs="Arial"/>
          <w:sz w:val="24"/>
          <w:szCs w:val="24"/>
        </w:rPr>
        <w:t>for Stoke Golding patients</w:t>
      </w:r>
      <w:r>
        <w:rPr>
          <w:rFonts w:ascii="Arial" w:hAnsi="Arial" w:cs="Arial"/>
          <w:sz w:val="24"/>
          <w:szCs w:val="24"/>
        </w:rPr>
        <w:t>.</w:t>
      </w:r>
    </w:p>
    <w:p w:rsidR="00BE598A" w:rsidRDefault="00BE598A" w:rsidP="00D12BF8">
      <w:pPr>
        <w:spacing w:before="180" w:after="225" w:line="288" w:lineRule="auto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D12BF8">
      <w:pPr>
        <w:spacing w:before="180" w:after="225" w:line="288" w:lineRule="auto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BE598A" w:rsidRDefault="00BE598A" w:rsidP="00D12BF8">
      <w:pPr>
        <w:spacing w:before="180" w:after="225" w:line="288" w:lineRule="auto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</w:p>
    <w:p w:rsidR="00D12BF8" w:rsidRPr="007318F6" w:rsidRDefault="00D12BF8" w:rsidP="00D12BF8">
      <w:pPr>
        <w:spacing w:before="180" w:after="225" w:line="288" w:lineRule="auto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  <w:r w:rsidRPr="007318F6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Reception Opening Times</w:t>
      </w:r>
    </w:p>
    <w:p w:rsidR="00D12BF8" w:rsidRPr="007318F6" w:rsidRDefault="00D12BF8" w:rsidP="00D12BF8">
      <w:pPr>
        <w:spacing w:before="180" w:after="75" w:line="288" w:lineRule="auto"/>
        <w:outlineLvl w:val="2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  <w:r w:rsidRPr="007318F6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Castle Mead Medical Centre</w:t>
      </w:r>
    </w:p>
    <w:tbl>
      <w:tblPr>
        <w:tblW w:w="3000" w:type="pct"/>
        <w:tblBorders>
          <w:top w:val="dotted" w:sz="6" w:space="0" w:color="C0C0C0"/>
          <w:left w:val="dotted" w:sz="6" w:space="0" w:color="C0C0C0"/>
          <w:bottom w:val="dotted" w:sz="6" w:space="0" w:color="C0C0C0"/>
          <w:right w:val="dotted" w:sz="6" w:space="0" w:color="C0C0C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56"/>
        <w:gridCol w:w="3632"/>
      </w:tblGrid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Monday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8.00am - 6.00pm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Tuesday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8.00am - 6.00pm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Wednesday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8.00am - 6.00pm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Thursday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8.00am - 6.00pm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Friday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8.00am - 6.00pm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Weekend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i/>
                <w:iCs/>
                <w:color w:val="505050"/>
                <w:sz w:val="24"/>
                <w:szCs w:val="24"/>
                <w:lang w:eastAsia="en-GB"/>
              </w:rPr>
              <w:t>closed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12BF8" w:rsidRPr="007318F6" w:rsidRDefault="00D12BF8" w:rsidP="00D12BF8">
      <w:pPr>
        <w:spacing w:before="180" w:after="75" w:line="288" w:lineRule="auto"/>
        <w:outlineLvl w:val="2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  <w:r w:rsidRPr="007318F6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Available on the telephone from 8:00am - 6:30pm Monday - Friday</w:t>
      </w:r>
    </w:p>
    <w:p w:rsidR="00D12BF8" w:rsidRPr="007318F6" w:rsidRDefault="00D12BF8" w:rsidP="00D12BF8">
      <w:pPr>
        <w:spacing w:before="180" w:after="75" w:line="288" w:lineRule="auto"/>
        <w:outlineLvl w:val="2"/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</w:pPr>
      <w:r w:rsidRPr="007318F6">
        <w:rPr>
          <w:rFonts w:ascii="Arial" w:eastAsia="Times New Roman" w:hAnsi="Arial" w:cs="Arial"/>
          <w:b/>
          <w:bCs/>
          <w:color w:val="505050"/>
          <w:sz w:val="24"/>
          <w:szCs w:val="24"/>
          <w:lang w:eastAsia="en-GB"/>
        </w:rPr>
        <w:t>Stoke Golding Surgery</w:t>
      </w:r>
    </w:p>
    <w:tbl>
      <w:tblPr>
        <w:tblW w:w="3000" w:type="pct"/>
        <w:tblBorders>
          <w:top w:val="dotted" w:sz="6" w:space="0" w:color="C0C0C0"/>
          <w:left w:val="dotted" w:sz="6" w:space="0" w:color="C0C0C0"/>
          <w:bottom w:val="dotted" w:sz="6" w:space="0" w:color="C0C0C0"/>
          <w:right w:val="dotted" w:sz="6" w:space="0" w:color="C0C0C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48"/>
        <w:gridCol w:w="2169"/>
        <w:gridCol w:w="1971"/>
      </w:tblGrid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Morning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Afternoon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Monday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8.30 - 12.00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4.00 - 6.00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Tuesday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8.30 - 2.00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 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Wednesday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8.30 - 2.00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 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Thursday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8.30 - 2.00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 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Friday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8.30 - 2.00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> </w:t>
            </w:r>
          </w:p>
        </w:tc>
      </w:tr>
      <w:tr w:rsidR="00D12BF8" w:rsidRPr="007318F6" w:rsidTr="00D12BF8"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  <w:lang w:eastAsia="en-GB"/>
              </w:rPr>
              <w:t>Weekend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i/>
                <w:iCs/>
                <w:color w:val="505050"/>
                <w:sz w:val="24"/>
                <w:szCs w:val="24"/>
                <w:lang w:eastAsia="en-GB"/>
              </w:rPr>
              <w:t>closed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D12BF8" w:rsidRPr="007318F6" w:rsidRDefault="00D12BF8" w:rsidP="00D12BF8">
            <w:pPr>
              <w:spacing w:after="0" w:line="336" w:lineRule="auto"/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</w:pPr>
            <w:r w:rsidRPr="007318F6">
              <w:rPr>
                <w:rFonts w:ascii="Arial" w:eastAsia="Times New Roman" w:hAnsi="Arial" w:cs="Arial"/>
                <w:i/>
                <w:iCs/>
                <w:color w:val="505050"/>
                <w:sz w:val="24"/>
                <w:szCs w:val="24"/>
                <w:lang w:eastAsia="en-GB"/>
              </w:rPr>
              <w:t>closed</w:t>
            </w:r>
            <w:r w:rsidRPr="007318F6">
              <w:rPr>
                <w:rFonts w:ascii="Arial" w:eastAsia="Times New Roman" w:hAnsi="Arial" w:cs="Arial"/>
                <w:color w:val="50505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12BF8" w:rsidRDefault="00D12BF8" w:rsidP="00194A3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B0CF6" w:rsidRPr="0034425F" w:rsidRDefault="000B0CF6" w:rsidP="00194A3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35B3" w:rsidRPr="0009302B" w:rsidRDefault="006035B3" w:rsidP="006035B3">
      <w:pPr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 w:rsidRPr="0009302B">
        <w:rPr>
          <w:rFonts w:ascii="Arial" w:hAnsi="Arial" w:cs="Arial"/>
          <w:b/>
          <w:i/>
          <w:sz w:val="24"/>
          <w:szCs w:val="24"/>
        </w:rPr>
        <w:t>Dr Julia Patterson</w:t>
      </w:r>
      <w:r w:rsidR="00D1700C">
        <w:rPr>
          <w:rFonts w:ascii="Arial" w:hAnsi="Arial" w:cs="Arial"/>
          <w:b/>
          <w:i/>
          <w:sz w:val="24"/>
          <w:szCs w:val="24"/>
        </w:rPr>
        <w:t xml:space="preserve"> and Alison Ellis</w:t>
      </w:r>
      <w:r w:rsidRPr="0009302B">
        <w:rPr>
          <w:rFonts w:ascii="Arial" w:hAnsi="Arial" w:cs="Arial"/>
          <w:b/>
          <w:i/>
          <w:sz w:val="24"/>
          <w:szCs w:val="24"/>
        </w:rPr>
        <w:t xml:space="preserve"> </w:t>
      </w:r>
      <w:r w:rsidR="00C20E9C" w:rsidRPr="0009302B">
        <w:rPr>
          <w:rFonts w:ascii="Arial" w:hAnsi="Arial" w:cs="Arial"/>
          <w:b/>
          <w:i/>
          <w:sz w:val="24"/>
          <w:szCs w:val="24"/>
        </w:rPr>
        <w:t>(</w:t>
      </w:r>
      <w:r w:rsidRPr="0009302B">
        <w:rPr>
          <w:rFonts w:ascii="Arial" w:hAnsi="Arial" w:cs="Arial"/>
          <w:b/>
          <w:i/>
          <w:sz w:val="24"/>
          <w:szCs w:val="24"/>
        </w:rPr>
        <w:t>on behalf of the</w:t>
      </w:r>
      <w:r w:rsidR="00C20E9C" w:rsidRPr="0009302B">
        <w:rPr>
          <w:rFonts w:ascii="Arial" w:hAnsi="Arial" w:cs="Arial"/>
          <w:b/>
          <w:i/>
          <w:sz w:val="24"/>
          <w:szCs w:val="24"/>
        </w:rPr>
        <w:t xml:space="preserve"> partners)</w:t>
      </w:r>
    </w:p>
    <w:sectPr w:rsidR="006035B3" w:rsidRPr="0009302B" w:rsidSect="00344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517"/>
    <w:multiLevelType w:val="hybridMultilevel"/>
    <w:tmpl w:val="C6FAE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91F15"/>
    <w:multiLevelType w:val="hybridMultilevel"/>
    <w:tmpl w:val="84E0E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CE24C8"/>
    <w:multiLevelType w:val="hybridMultilevel"/>
    <w:tmpl w:val="0714D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EA"/>
    <w:rsid w:val="0000506A"/>
    <w:rsid w:val="0009302B"/>
    <w:rsid w:val="000B0CF6"/>
    <w:rsid w:val="000C6EFE"/>
    <w:rsid w:val="000E42C2"/>
    <w:rsid w:val="001401EA"/>
    <w:rsid w:val="001763B1"/>
    <w:rsid w:val="00194A39"/>
    <w:rsid w:val="001D6179"/>
    <w:rsid w:val="002223F0"/>
    <w:rsid w:val="002A0861"/>
    <w:rsid w:val="00313768"/>
    <w:rsid w:val="0031529B"/>
    <w:rsid w:val="0034425F"/>
    <w:rsid w:val="0039078F"/>
    <w:rsid w:val="003A6F96"/>
    <w:rsid w:val="003F73B0"/>
    <w:rsid w:val="00590B1B"/>
    <w:rsid w:val="005E01A7"/>
    <w:rsid w:val="006035B3"/>
    <w:rsid w:val="006178BF"/>
    <w:rsid w:val="00625CF0"/>
    <w:rsid w:val="00691E54"/>
    <w:rsid w:val="007318F6"/>
    <w:rsid w:val="007D5D68"/>
    <w:rsid w:val="00836D07"/>
    <w:rsid w:val="00867485"/>
    <w:rsid w:val="009613F0"/>
    <w:rsid w:val="00A90681"/>
    <w:rsid w:val="00AF375A"/>
    <w:rsid w:val="00B76431"/>
    <w:rsid w:val="00B961F9"/>
    <w:rsid w:val="00BA54DF"/>
    <w:rsid w:val="00BE598A"/>
    <w:rsid w:val="00C20E9C"/>
    <w:rsid w:val="00C515DB"/>
    <w:rsid w:val="00C639AA"/>
    <w:rsid w:val="00D12BF8"/>
    <w:rsid w:val="00D1700C"/>
    <w:rsid w:val="00D278F7"/>
    <w:rsid w:val="00D66320"/>
    <w:rsid w:val="00D92038"/>
    <w:rsid w:val="00E3175D"/>
    <w:rsid w:val="00F01610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Sheet1!$A$3:$A$8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Sheet1!$B$3:$B$8</c:f>
              <c:numCache>
                <c:formatCode>0.00%</c:formatCode>
                <c:ptCount val="6"/>
                <c:pt idx="0">
                  <c:v>0.2581</c:v>
                </c:pt>
                <c:pt idx="1">
                  <c:v>0.55579999999999996</c:v>
                </c:pt>
                <c:pt idx="2">
                  <c:v>0.15609999999999999</c:v>
                </c:pt>
                <c:pt idx="3">
                  <c:v>2.0400000000000001E-2</c:v>
                </c:pt>
                <c:pt idx="4">
                  <c:v>2.3999999999999998E-3</c:v>
                </c:pt>
                <c:pt idx="5">
                  <c:v>7.1999999999999998E-3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017436950815935"/>
          <c:y val="4.9335312275349416E-2"/>
          <c:w val="0.31982563049184071"/>
          <c:h val="0.95066468772465063"/>
        </c:manualLayout>
      </c:layout>
      <c:overlay val="0"/>
    </c:legend>
    <c:plotVisOnly val="1"/>
    <c:dispBlanksAs val="gap"/>
    <c:showDLblsOverMax val="0"/>
  </c:chart>
  <c:spPr>
    <a:ln w="12700">
      <a:solidFill>
        <a:schemeClr val="tx1"/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13844230473979"/>
          <c:y val="0.14269418579481211"/>
          <c:w val="0.37505932928300395"/>
          <c:h val="0.75643943705834027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Sheet1!$A$84:$A$89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Sheet1!$B$84:$B$89</c:f>
              <c:numCache>
                <c:formatCode>0.00%</c:formatCode>
                <c:ptCount val="6"/>
                <c:pt idx="0">
                  <c:v>0.56740000000000002</c:v>
                </c:pt>
                <c:pt idx="1">
                  <c:v>0.35599999999999998</c:v>
                </c:pt>
                <c:pt idx="2">
                  <c:v>3.3399999999999999E-2</c:v>
                </c:pt>
                <c:pt idx="3">
                  <c:v>2.5000000000000001E-3</c:v>
                </c:pt>
                <c:pt idx="4">
                  <c:v>0</c:v>
                </c:pt>
                <c:pt idx="5">
                  <c:v>4.0800000000000003E-2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Sheet1!$A$94:$A$99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Sheet1!$B$94:$B$99</c:f>
              <c:numCache>
                <c:formatCode>0.00%</c:formatCode>
                <c:ptCount val="6"/>
                <c:pt idx="0">
                  <c:v>0.51800000000000002</c:v>
                </c:pt>
                <c:pt idx="1">
                  <c:v>0.3508</c:v>
                </c:pt>
                <c:pt idx="2">
                  <c:v>5.57E-2</c:v>
                </c:pt>
                <c:pt idx="3">
                  <c:v>1.1000000000000001E-3</c:v>
                </c:pt>
                <c:pt idx="4" formatCode="0%">
                  <c:v>0</c:v>
                </c:pt>
                <c:pt idx="5" formatCode="0%">
                  <c:v>7.2099999999999997E-2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solidFill>
        <a:sysClr val="windowText" lastClr="000000"/>
      </a:solidFill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Sheet1!$A$103:$A$108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Sheet1!$B$103:$B$108</c:f>
              <c:numCache>
                <c:formatCode>0.00%</c:formatCode>
                <c:ptCount val="6"/>
                <c:pt idx="0">
                  <c:v>0.48420000000000002</c:v>
                </c:pt>
                <c:pt idx="1">
                  <c:v>0.43809999999999999</c:v>
                </c:pt>
                <c:pt idx="2">
                  <c:v>4.2500000000000003E-2</c:v>
                </c:pt>
                <c:pt idx="3">
                  <c:v>3.5999999999999999E-3</c:v>
                </c:pt>
                <c:pt idx="4">
                  <c:v>4.8999999999999998E-3</c:v>
                </c:pt>
                <c:pt idx="5">
                  <c:v>2.6700000000000002E-2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Sheet1!$A$114:$A$119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Sheet1!$B$114:$B$119</c:f>
              <c:numCache>
                <c:formatCode>0%</c:formatCode>
                <c:ptCount val="6"/>
                <c:pt idx="0" formatCode="0.00%">
                  <c:v>0.25109999999999999</c:v>
                </c:pt>
                <c:pt idx="1">
                  <c:v>0.2397</c:v>
                </c:pt>
                <c:pt idx="2" formatCode="0.00%">
                  <c:v>5.3900000000000003E-2</c:v>
                </c:pt>
                <c:pt idx="3" formatCode="0.00%">
                  <c:v>8.5000000000000006E-3</c:v>
                </c:pt>
                <c:pt idx="4" formatCode="0.00%">
                  <c:v>9.9000000000000008E-3</c:v>
                </c:pt>
                <c:pt idx="5" formatCode="0.00%">
                  <c:v>0.43690000000000001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Sheet1!$A$125:$A$130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Sheet1!$B$125:$B$130</c:f>
              <c:numCache>
                <c:formatCode>0.00%</c:formatCode>
                <c:ptCount val="6"/>
                <c:pt idx="0">
                  <c:v>0.1986</c:v>
                </c:pt>
                <c:pt idx="1">
                  <c:v>0.42459999999999998</c:v>
                </c:pt>
                <c:pt idx="2">
                  <c:v>6.5799999999999997E-2</c:v>
                </c:pt>
                <c:pt idx="3">
                  <c:v>6.7999999999999996E-3</c:v>
                </c:pt>
                <c:pt idx="4">
                  <c:v>1.4E-3</c:v>
                </c:pt>
                <c:pt idx="5">
                  <c:v>0.30270000000000002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Sheet1!$A$135:$A$140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Sheet1!$B$135:$B$140</c:f>
              <c:numCache>
                <c:formatCode>General</c:formatCode>
                <c:ptCount val="6"/>
                <c:pt idx="0">
                  <c:v>11.66</c:v>
                </c:pt>
                <c:pt idx="1">
                  <c:v>36.29</c:v>
                </c:pt>
                <c:pt idx="2">
                  <c:v>12.32</c:v>
                </c:pt>
                <c:pt idx="3">
                  <c:v>3.18</c:v>
                </c:pt>
                <c:pt idx="4">
                  <c:v>1.85</c:v>
                </c:pt>
                <c:pt idx="5">
                  <c:v>34.700000000000003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71606413328768692"/>
          <c:y val="8.7854074106658464E-2"/>
          <c:w val="0.27363602647495144"/>
          <c:h val="0.82664731154415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FF0000"/>
            </a:solidFill>
            <a:ln>
              <a:noFill/>
            </a:ln>
          </c:spPr>
          <c:dPt>
            <c:idx val="0"/>
            <c:bubble3D val="0"/>
            <c:explosion val="1"/>
            <c:spPr>
              <a:solidFill>
                <a:srgbClr val="00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99.70%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0.29%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Sheet1!$A$146:$A$147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Sheet1!$B$146:$B$147</c:f>
              <c:numCache>
                <c:formatCode>0.00%</c:formatCode>
                <c:ptCount val="2"/>
                <c:pt idx="0">
                  <c:v>0.997</c:v>
                </c:pt>
                <c:pt idx="1">
                  <c:v>2.8999999999999998E-3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Sheet1!$A$12:$A$17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Sheet1!$B$12:$B$17</c:f>
              <c:numCache>
                <c:formatCode>0.00%</c:formatCode>
                <c:ptCount val="6"/>
                <c:pt idx="0">
                  <c:v>0.21079999999999999</c:v>
                </c:pt>
                <c:pt idx="1">
                  <c:v>0.218</c:v>
                </c:pt>
                <c:pt idx="2">
                  <c:v>3.56E-2</c:v>
                </c:pt>
                <c:pt idx="3">
                  <c:v>1.14E-2</c:v>
                </c:pt>
                <c:pt idx="4">
                  <c:v>2.8E-3</c:v>
                </c:pt>
                <c:pt idx="5">
                  <c:v>0.52139999999999997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 w="12700">
      <a:solidFill>
        <a:sysClr val="windowText" lastClr="000000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Sheet1!$A$21:$A$26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Sheet1!$B$21:$B$26</c:f>
              <c:numCache>
                <c:formatCode>General</c:formatCode>
                <c:ptCount val="6"/>
                <c:pt idx="0">
                  <c:v>60.12</c:v>
                </c:pt>
                <c:pt idx="1">
                  <c:v>30.67</c:v>
                </c:pt>
                <c:pt idx="2">
                  <c:v>7.12</c:v>
                </c:pt>
                <c:pt idx="3">
                  <c:v>1.23</c:v>
                </c:pt>
                <c:pt idx="4">
                  <c:v>0.25</c:v>
                </c:pt>
                <c:pt idx="5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solidFill>
        <a:sysClr val="windowText" lastClr="000000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Sheet1!$A$30:$A$35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Sheet1!$B$30:$B$35</c:f>
              <c:numCache>
                <c:formatCode>0.00%</c:formatCode>
                <c:ptCount val="6"/>
                <c:pt idx="0">
                  <c:v>0.19900000000000001</c:v>
                </c:pt>
                <c:pt idx="1">
                  <c:v>0.39319999999999999</c:v>
                </c:pt>
                <c:pt idx="2">
                  <c:v>0.29980000000000001</c:v>
                </c:pt>
                <c:pt idx="3">
                  <c:v>6.9199999999999998E-2</c:v>
                </c:pt>
                <c:pt idx="4">
                  <c:v>1.9400000000000001E-2</c:v>
                </c:pt>
                <c:pt idx="5">
                  <c:v>1.9400000000000001E-2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Sheet1!$A$39:$A$44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Sheet1!$B$39:$B$44</c:f>
              <c:numCache>
                <c:formatCode>0.00%</c:formatCode>
                <c:ptCount val="6"/>
                <c:pt idx="0">
                  <c:v>0.3387</c:v>
                </c:pt>
                <c:pt idx="1">
                  <c:v>0.38869999999999999</c:v>
                </c:pt>
                <c:pt idx="2">
                  <c:v>0.155</c:v>
                </c:pt>
                <c:pt idx="3">
                  <c:v>3.3799999999999997E-2</c:v>
                </c:pt>
                <c:pt idx="4">
                  <c:v>2.1299999999999999E-2</c:v>
                </c:pt>
                <c:pt idx="5">
                  <c:v>6.25E-2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solidFill>
        <a:sysClr val="windowText" lastClr="000000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Sheet1!$A$48:$A$53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Sheet1!$B$48:$B$53</c:f>
              <c:numCache>
                <c:formatCode>0.00%</c:formatCode>
                <c:ptCount val="6"/>
                <c:pt idx="0">
                  <c:v>0.37519999999999998</c:v>
                </c:pt>
                <c:pt idx="1">
                  <c:v>0.37890000000000001</c:v>
                </c:pt>
                <c:pt idx="2">
                  <c:v>0.13539999999999999</c:v>
                </c:pt>
                <c:pt idx="3">
                  <c:v>3.1099999999999999E-2</c:v>
                </c:pt>
                <c:pt idx="4">
                  <c:v>1.49E-2</c:v>
                </c:pt>
                <c:pt idx="5">
                  <c:v>6.4500000000000002E-2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060741417876855"/>
          <c:y val="7.8641710730230782E-2"/>
          <c:w val="0.4146873593307433"/>
          <c:h val="0.84271657853953841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Sheet1!$A$57:$A$62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Sheet1!$B$57:$B$62</c:f>
              <c:numCache>
                <c:formatCode>0.00%</c:formatCode>
                <c:ptCount val="6"/>
                <c:pt idx="0">
                  <c:v>0.36080000000000001</c:v>
                </c:pt>
                <c:pt idx="1">
                  <c:v>0.37759999999999999</c:v>
                </c:pt>
                <c:pt idx="2">
                  <c:v>0.11210000000000001</c:v>
                </c:pt>
                <c:pt idx="3">
                  <c:v>7.7000000000000002E-3</c:v>
                </c:pt>
                <c:pt idx="4">
                  <c:v>1.2999999999999999E-3</c:v>
                </c:pt>
                <c:pt idx="5">
                  <c:v>0.14050000000000001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Sheet1!$A$66:$A$71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Sheet1!$B$66:$B$71</c:f>
              <c:numCache>
                <c:formatCode>0.00%</c:formatCode>
                <c:ptCount val="6"/>
                <c:pt idx="0">
                  <c:v>0.60399999999999998</c:v>
                </c:pt>
                <c:pt idx="1">
                  <c:v>0.3387</c:v>
                </c:pt>
                <c:pt idx="2">
                  <c:v>3.9899999999999998E-2</c:v>
                </c:pt>
                <c:pt idx="3">
                  <c:v>3.7000000000000002E-3</c:v>
                </c:pt>
                <c:pt idx="4">
                  <c:v>0</c:v>
                </c:pt>
                <c:pt idx="5">
                  <c:v>1.37E-2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Sheet1!$A$75:$A$80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Very Poor</c:v>
                </c:pt>
                <c:pt idx="5">
                  <c:v>Not Applicable</c:v>
                </c:pt>
              </c:strCache>
            </c:strRef>
          </c:cat>
          <c:val>
            <c:numRef>
              <c:f>Sheet1!$B$75:$B$80</c:f>
              <c:numCache>
                <c:formatCode>0.00%</c:formatCode>
                <c:ptCount val="6"/>
                <c:pt idx="0">
                  <c:v>0.46760000000000002</c:v>
                </c:pt>
                <c:pt idx="1">
                  <c:v>0.39069999999999999</c:v>
                </c:pt>
                <c:pt idx="2">
                  <c:v>8.7900000000000006E-2</c:v>
                </c:pt>
                <c:pt idx="3">
                  <c:v>7.3000000000000001E-3</c:v>
                </c:pt>
                <c:pt idx="4">
                  <c:v>2.3999999999999998E-3</c:v>
                </c:pt>
                <c:pt idx="5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E168-7D29-4DE4-BFAB-5DA08B63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F18D7222</Template>
  <TotalTime>0</TotalTime>
  <Pages>9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Patterson</dc:creator>
  <cp:lastModifiedBy>Ellis Alison</cp:lastModifiedBy>
  <cp:revision>2</cp:revision>
  <cp:lastPrinted>2014-04-03T17:42:00Z</cp:lastPrinted>
  <dcterms:created xsi:type="dcterms:W3CDTF">2014-04-04T11:29:00Z</dcterms:created>
  <dcterms:modified xsi:type="dcterms:W3CDTF">2014-04-04T11:29:00Z</dcterms:modified>
</cp:coreProperties>
</file>